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Default="006E0FBB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EC571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Pr="003836C7" w:rsidRDefault="00A14F93" w:rsidP="006E0FB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Queensland</w:t>
      </w:r>
    </w:p>
    <w:p w:rsidR="00BF1EC3" w:rsidRPr="00BF1EC3" w:rsidRDefault="00BF1EC3" w:rsidP="00EC571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D2C2E" w:rsidRPr="00433831" w:rsidRDefault="00011BBB" w:rsidP="00D448C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Labour Force</w:t>
      </w:r>
      <w:r w:rsidR="00DE547A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(</w:t>
      </w:r>
      <w:r w:rsidR="00276567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all persons aged </w:t>
      </w:r>
      <w:r w:rsidR="00DE547A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15 years and over</w:t>
      </w:r>
      <w:r w:rsidR="009C247B" w:rsidRPr="003C28FD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)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186"/>
        <w:gridCol w:w="2126"/>
        <w:gridCol w:w="992"/>
        <w:gridCol w:w="1112"/>
        <w:gridCol w:w="2007"/>
        <w:gridCol w:w="1081"/>
        <w:gridCol w:w="1328"/>
      </w:tblGrid>
      <w:tr w:rsidR="00276567" w:rsidRPr="002E42CC" w:rsidTr="001B6491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Pr="002E42CC" w:rsidRDefault="00276567" w:rsidP="001B649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4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2E42CC" w:rsidTr="00473798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F75D9" w:rsidRDefault="00276567" w:rsidP="001B6491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gridSpan w:val="2"/>
            <w:shd w:val="clear" w:color="auto" w:fill="8DB3E2" w:themeFill="text2" w:themeFillTint="66"/>
            <w:vAlign w:val="center"/>
          </w:tcPr>
          <w:p w:rsidR="00276567" w:rsidRPr="00594664" w:rsidRDefault="00276567" w:rsidP="0047379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276567" w:rsidRPr="00594664" w:rsidRDefault="00276567" w:rsidP="0047379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center"/>
          </w:tcPr>
          <w:p w:rsidR="00276567" w:rsidRPr="00594664" w:rsidRDefault="00276567" w:rsidP="00473798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center"/>
          </w:tcPr>
          <w:p w:rsidR="00276567" w:rsidRPr="00594664" w:rsidRDefault="00276567" w:rsidP="0047379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center"/>
          </w:tcPr>
          <w:p w:rsidR="00276567" w:rsidRPr="00594664" w:rsidRDefault="00276567" w:rsidP="0047379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center"/>
          </w:tcPr>
          <w:p w:rsidR="00276567" w:rsidRPr="00594664" w:rsidRDefault="00276567" w:rsidP="00473798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A14F93" w:rsidRPr="002E42CC" w:rsidTr="00473798">
        <w:tc>
          <w:tcPr>
            <w:tcW w:w="1844" w:type="dxa"/>
            <w:gridSpan w:val="2"/>
            <w:shd w:val="clear" w:color="auto" w:fill="8DB3E2" w:themeFill="text2" w:themeFillTint="66"/>
            <w:vAlign w:val="bottom"/>
          </w:tcPr>
          <w:p w:rsidR="00A14F93" w:rsidRPr="009C247B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in labour force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2,171,074</w:t>
            </w:r>
            <w:r w:rsidR="003C28F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(62.8%)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53.0%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47.0%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1,915,948</w:t>
            </w:r>
            <w:r w:rsidR="003C28F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(61.8%)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53.8%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46.2%</w:t>
            </w:r>
          </w:p>
        </w:tc>
      </w:tr>
      <w:tr w:rsidR="00A14F93" w:rsidRPr="002E42CC" w:rsidTr="00473798">
        <w:tc>
          <w:tcPr>
            <w:tcW w:w="1844" w:type="dxa"/>
            <w:gridSpan w:val="2"/>
            <w:shd w:val="clear" w:color="auto" w:fill="8DB3E2" w:themeFill="text2" w:themeFillTint="66"/>
            <w:vAlign w:val="bottom"/>
          </w:tcPr>
          <w:p w:rsidR="00A14F93" w:rsidRPr="009C247B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Employed </w:t>
            </w:r>
            <w:r w:rsidR="003C28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br/>
            </w: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full-time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1,302,954</w:t>
            </w:r>
            <w:r w:rsidR="003C28F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(37.7%)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63.4%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36.6%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1,180,888</w:t>
            </w:r>
            <w:r w:rsidR="003C28F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(38.1%)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64.5%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35.5%</w:t>
            </w:r>
          </w:p>
        </w:tc>
      </w:tr>
      <w:tr w:rsidR="00A14F93" w:rsidRPr="002E42CC" w:rsidTr="00473798">
        <w:tc>
          <w:tcPr>
            <w:tcW w:w="1844" w:type="dxa"/>
            <w:gridSpan w:val="2"/>
            <w:shd w:val="clear" w:color="auto" w:fill="8DB3E2" w:themeFill="text2" w:themeFillTint="66"/>
            <w:vAlign w:val="bottom"/>
          </w:tcPr>
          <w:p w:rsidR="00A14F93" w:rsidRPr="009C247B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Employed </w:t>
            </w:r>
            <w:r w:rsidR="003C28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br/>
            </w: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part-time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611,296</w:t>
            </w:r>
            <w:r w:rsidR="003C28F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(17.7%)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31.5%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68.5%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530,502</w:t>
            </w:r>
            <w:r w:rsidR="003C28F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(17.1%)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30.6%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69.4%</w:t>
            </w:r>
          </w:p>
        </w:tc>
      </w:tr>
      <w:tr w:rsidR="00A14F93" w:rsidRPr="002E42CC" w:rsidTr="00473798">
        <w:tc>
          <w:tcPr>
            <w:tcW w:w="1844" w:type="dxa"/>
            <w:gridSpan w:val="2"/>
            <w:shd w:val="clear" w:color="auto" w:fill="8DB3E2" w:themeFill="text2" w:themeFillTint="66"/>
            <w:vAlign w:val="bottom"/>
          </w:tcPr>
          <w:p w:rsidR="00A14F93" w:rsidRPr="009C247B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Unemployed, looking for work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131,800</w:t>
            </w:r>
            <w:r w:rsidR="003C28F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(3.8%)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52.9%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47.1%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90,952</w:t>
            </w:r>
            <w:r w:rsidR="003C28F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(2.9%)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50.2%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49.8%</w:t>
            </w:r>
          </w:p>
        </w:tc>
      </w:tr>
      <w:tr w:rsidR="00A14F93" w:rsidRPr="002E42CC" w:rsidTr="00473798">
        <w:tc>
          <w:tcPr>
            <w:tcW w:w="1844" w:type="dxa"/>
            <w:gridSpan w:val="2"/>
            <w:shd w:val="clear" w:color="auto" w:fill="8DB3E2" w:themeFill="text2" w:themeFillTint="66"/>
            <w:vAlign w:val="bottom"/>
          </w:tcPr>
          <w:p w:rsidR="00A14F93" w:rsidRPr="009C247B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Population not in the labour force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1,079,302</w:t>
            </w:r>
            <w:r w:rsidR="003C28F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(31.2%)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40.4%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59.6%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971,829</w:t>
            </w:r>
            <w:r w:rsidR="003C28F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(31.4%)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39.2%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60.8%</w:t>
            </w:r>
          </w:p>
        </w:tc>
      </w:tr>
      <w:tr w:rsidR="00A14F93" w:rsidRPr="002E42CC" w:rsidTr="00473798">
        <w:tc>
          <w:tcPr>
            <w:tcW w:w="1844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A14F93" w:rsidRPr="009C247B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3,456,874</w:t>
            </w:r>
            <w:r w:rsidR="003C28F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49.1%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50.9%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3,097,997</w:t>
            </w:r>
            <w:r w:rsidR="003C28F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49.1%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50.9%</w:t>
            </w:r>
          </w:p>
        </w:tc>
      </w:tr>
    </w:tbl>
    <w:p w:rsidR="003C28FD" w:rsidRPr="003C28FD" w:rsidRDefault="003C28FD" w:rsidP="003C28FD">
      <w:pPr>
        <w:ind w:left="360"/>
        <w:rPr>
          <w:rFonts w:ascii="Arial" w:hAnsi="Arial" w:cs="Arial"/>
          <w:b/>
          <w:color w:val="4F81BD" w:themeColor="accent1"/>
          <w:sz w:val="18"/>
          <w:szCs w:val="18"/>
        </w:rPr>
      </w:pPr>
    </w:p>
    <w:p w:rsidR="00A14F93" w:rsidRDefault="00A14F93" w:rsidP="00A14F93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62.8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% of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persons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 w:rsidR="001A73F0">
        <w:rPr>
          <w:rFonts w:ascii="Arial" w:hAnsi="Arial" w:cs="Arial"/>
          <w:b/>
          <w:color w:val="4F81BD" w:themeColor="accent1"/>
          <w:sz w:val="18"/>
          <w:szCs w:val="18"/>
        </w:rPr>
        <w:t xml:space="preserve">in Queensland 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aged 15 years and over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reported being in the labour</w:t>
      </w:r>
      <w:r w:rsidR="001A73F0">
        <w:rPr>
          <w:rFonts w:ascii="Arial" w:hAnsi="Arial" w:cs="Arial"/>
          <w:b/>
          <w:color w:val="4F81BD" w:themeColor="accent1"/>
          <w:sz w:val="18"/>
          <w:szCs w:val="18"/>
        </w:rPr>
        <w:t xml:space="preserve"> force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. This is similar to 2006 when 61.8% </w:t>
      </w:r>
      <w:r w:rsidR="001A73F0">
        <w:rPr>
          <w:rFonts w:ascii="Arial" w:hAnsi="Arial" w:cs="Arial"/>
          <w:b/>
          <w:color w:val="4F81BD" w:themeColor="accent1"/>
          <w:sz w:val="18"/>
          <w:szCs w:val="18"/>
        </w:rPr>
        <w:t xml:space="preserve">of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persons reported being in the labour force.</w:t>
      </w:r>
    </w:p>
    <w:p w:rsidR="00A14F93" w:rsidRPr="005D7C5B" w:rsidRDefault="00A14F93" w:rsidP="00A14F93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31.2% of </w:t>
      </w:r>
      <w:r w:rsidR="003C28FD">
        <w:rPr>
          <w:rFonts w:ascii="Arial" w:hAnsi="Arial" w:cs="Arial"/>
          <w:b/>
          <w:color w:val="4F81BD" w:themeColor="accent1"/>
          <w:sz w:val="18"/>
          <w:szCs w:val="18"/>
        </w:rPr>
        <w:t xml:space="preserve">persons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aged 15 years and over reported not being in the labour force. The proportion is similar to those reported in 2006 (31.4%).</w:t>
      </w:r>
    </w:p>
    <w:p w:rsidR="00C64D05" w:rsidRDefault="00A14F93" w:rsidP="00A14F93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The proportion of those who reported being unemployed and looking for work increased </w:t>
      </w:r>
      <w:r w:rsidR="00C64D05">
        <w:rPr>
          <w:rFonts w:ascii="Arial" w:hAnsi="Arial" w:cs="Arial"/>
          <w:b/>
          <w:color w:val="4F81BD" w:themeColor="accent1"/>
          <w:sz w:val="18"/>
          <w:szCs w:val="18"/>
        </w:rPr>
        <w:t xml:space="preserve">from 2.9% in 2006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to 3.8% in 2011. </w:t>
      </w:r>
    </w:p>
    <w:p w:rsidR="00A14F93" w:rsidRPr="005D7C5B" w:rsidRDefault="00A14F93" w:rsidP="00A14F93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The number of persons who reported being unemployed and looking for work </w:t>
      </w:r>
      <w:r w:rsidR="00067D5D">
        <w:rPr>
          <w:rFonts w:ascii="Arial" w:hAnsi="Arial" w:cs="Arial"/>
          <w:b/>
          <w:color w:val="4F81BD" w:themeColor="accent1"/>
          <w:sz w:val="18"/>
          <w:szCs w:val="18"/>
        </w:rPr>
        <w:t xml:space="preserve">increased by 44.9%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from 90,952 in 2006 to 131,800 in 2011</w:t>
      </w:r>
      <w:r w:rsidR="00067D5D">
        <w:rPr>
          <w:rFonts w:ascii="Arial" w:hAnsi="Arial" w:cs="Arial"/>
          <w:b/>
          <w:color w:val="4F81BD" w:themeColor="accent1"/>
          <w:sz w:val="18"/>
          <w:szCs w:val="18"/>
        </w:rPr>
        <w:t>.</w:t>
      </w:r>
    </w:p>
    <w:p w:rsidR="00A14F93" w:rsidRPr="00BF24A5" w:rsidRDefault="00A14F93" w:rsidP="00BF24A5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Of those who reported being employed full</w:t>
      </w:r>
      <w:r w:rsidR="00067D5D">
        <w:rPr>
          <w:rFonts w:ascii="Arial" w:hAnsi="Arial" w:cs="Arial"/>
          <w:b/>
          <w:color w:val="4F81BD" w:themeColor="accent1"/>
          <w:sz w:val="18"/>
          <w:szCs w:val="18"/>
        </w:rPr>
        <w:t>-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time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,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63.4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% we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re males and 36.6% were females.</w:t>
      </w:r>
    </w:p>
    <w:p w:rsidR="00A14F93" w:rsidRDefault="002E7952" w:rsidP="00A14F93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302175">
        <w:rPr>
          <w:rFonts w:ascii="Arial" w:hAnsi="Arial" w:cs="Arial"/>
          <w:b/>
          <w:color w:val="4F81BD" w:themeColor="accent1"/>
          <w:sz w:val="18"/>
          <w:szCs w:val="18"/>
        </w:rPr>
        <w:t>Of those who reported being employed part-time, 31.5% were males and 68.5% were females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.</w:t>
      </w:r>
    </w:p>
    <w:p w:rsidR="009C247B" w:rsidRDefault="009C247B" w:rsidP="002A47EB">
      <w:pPr>
        <w:rPr>
          <w:rFonts w:ascii="Arial" w:hAnsi="Arial" w:cs="Arial"/>
          <w:b/>
        </w:rPr>
      </w:pPr>
    </w:p>
    <w:p w:rsidR="00067D5D" w:rsidRDefault="00067D5D">
      <w:pP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br w:type="page"/>
      </w:r>
    </w:p>
    <w:p w:rsidR="00067D5D" w:rsidRDefault="00067D5D" w:rsidP="00011BBB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</w:p>
    <w:p w:rsidR="00067D5D" w:rsidRDefault="00067D5D" w:rsidP="00067D5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67D5D" w:rsidRDefault="00067D5D" w:rsidP="00067D5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67D5D" w:rsidRDefault="00067D5D" w:rsidP="00067D5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67D5D" w:rsidRPr="003836C7" w:rsidRDefault="00067D5D" w:rsidP="00067D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Queensland</w:t>
      </w:r>
    </w:p>
    <w:p w:rsidR="00067D5D" w:rsidRPr="00BF1EC3" w:rsidRDefault="00067D5D" w:rsidP="00067D5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D2C2E" w:rsidRPr="00433831" w:rsidRDefault="00011BBB" w:rsidP="00011BBB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Weekly Hours Worked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(employed persons aged 15 years and over)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985"/>
        <w:gridCol w:w="1985"/>
        <w:gridCol w:w="992"/>
        <w:gridCol w:w="1106"/>
        <w:gridCol w:w="1871"/>
        <w:gridCol w:w="1276"/>
        <w:gridCol w:w="1275"/>
      </w:tblGrid>
      <w:tr w:rsidR="005D2C2E" w:rsidRPr="002E42CC" w:rsidTr="001B6491"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D2C2E" w:rsidRPr="002E42CC" w:rsidRDefault="005D2C2E" w:rsidP="00B84AA5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083" w:type="dxa"/>
            <w:gridSpan w:val="3"/>
            <w:shd w:val="clear" w:color="auto" w:fill="548DD4" w:themeFill="text2" w:themeFillTint="99"/>
          </w:tcPr>
          <w:p w:rsidR="005D2C2E" w:rsidRPr="000A21E0" w:rsidRDefault="005D2C2E" w:rsidP="00B84AA5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22" w:type="dxa"/>
            <w:gridSpan w:val="3"/>
            <w:shd w:val="clear" w:color="auto" w:fill="548DD4" w:themeFill="text2" w:themeFillTint="99"/>
          </w:tcPr>
          <w:p w:rsidR="005D2C2E" w:rsidRPr="000A21E0" w:rsidRDefault="005D2C2E" w:rsidP="00B84AA5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2006</w:t>
            </w:r>
          </w:p>
        </w:tc>
      </w:tr>
      <w:tr w:rsidR="00011BBB" w:rsidRPr="002E42CC" w:rsidTr="00473798">
        <w:tc>
          <w:tcPr>
            <w:tcW w:w="1985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011BBB" w:rsidRPr="000A21E0" w:rsidRDefault="00011BBB" w:rsidP="00B84AA5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011BBB" w:rsidRPr="002E42CC" w:rsidRDefault="00011BBB" w:rsidP="0047379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011BBB" w:rsidRPr="002E42CC" w:rsidRDefault="00011BBB" w:rsidP="0047379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06" w:type="dxa"/>
            <w:shd w:val="clear" w:color="auto" w:fill="8DB3E2" w:themeFill="text2" w:themeFillTint="66"/>
            <w:vAlign w:val="center"/>
          </w:tcPr>
          <w:p w:rsidR="00011BBB" w:rsidRPr="002E42CC" w:rsidRDefault="00011BBB" w:rsidP="0047379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71" w:type="dxa"/>
            <w:shd w:val="clear" w:color="auto" w:fill="8DB3E2" w:themeFill="text2" w:themeFillTint="66"/>
            <w:vAlign w:val="center"/>
          </w:tcPr>
          <w:p w:rsidR="00011BBB" w:rsidRPr="002E42CC" w:rsidRDefault="00011BBB" w:rsidP="0047379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11BBB" w:rsidRPr="002E42CC" w:rsidRDefault="00011BBB" w:rsidP="0047379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011BBB" w:rsidRPr="002E42CC" w:rsidRDefault="00011BBB" w:rsidP="0047379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</w:tr>
      <w:tr w:rsidR="00A14F93" w:rsidRPr="002E42CC" w:rsidTr="00473798">
        <w:tc>
          <w:tcPr>
            <w:tcW w:w="1985" w:type="dxa"/>
            <w:shd w:val="clear" w:color="auto" w:fill="8DB3E2" w:themeFill="text2" w:themeFillTint="66"/>
            <w:vAlign w:val="bottom"/>
          </w:tcPr>
          <w:p w:rsidR="00A14F93" w:rsidRPr="009C247B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40 hours and above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933,693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(45.8%)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68.9%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31.1%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873,162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(47.8%)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69.6%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30.4%</w:t>
            </w:r>
          </w:p>
        </w:tc>
      </w:tr>
      <w:tr w:rsidR="00A14F93" w:rsidRPr="002E42CC" w:rsidTr="00473798">
        <w:tc>
          <w:tcPr>
            <w:tcW w:w="1985" w:type="dxa"/>
            <w:shd w:val="clear" w:color="auto" w:fill="8DB3E2" w:themeFill="text2" w:themeFillTint="66"/>
            <w:vAlign w:val="bottom"/>
          </w:tcPr>
          <w:p w:rsidR="00A14F93" w:rsidRPr="009C247B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35-39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369,262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(18.1%)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49.4%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50.6%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307,730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(16.9%)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49.9%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50.1%</w:t>
            </w:r>
          </w:p>
        </w:tc>
      </w:tr>
      <w:tr w:rsidR="00A14F93" w:rsidRPr="002E42CC" w:rsidTr="00473798">
        <w:tc>
          <w:tcPr>
            <w:tcW w:w="1985" w:type="dxa"/>
            <w:shd w:val="clear" w:color="auto" w:fill="8DB3E2" w:themeFill="text2" w:themeFillTint="66"/>
            <w:vAlign w:val="bottom"/>
          </w:tcPr>
          <w:p w:rsidR="00A14F93" w:rsidRPr="009C247B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25-34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219,806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(10.8%)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32.2%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67.8%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190,554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(10.4%)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32.0%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68.0%</w:t>
            </w:r>
          </w:p>
        </w:tc>
      </w:tr>
      <w:tr w:rsidR="00A14F93" w:rsidRPr="002E42CC" w:rsidTr="00473798">
        <w:tc>
          <w:tcPr>
            <w:tcW w:w="1985" w:type="dxa"/>
            <w:shd w:val="clear" w:color="auto" w:fill="8DB3E2" w:themeFill="text2" w:themeFillTint="66"/>
            <w:vAlign w:val="bottom"/>
          </w:tcPr>
          <w:p w:rsidR="00A14F93" w:rsidRPr="009C247B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16-24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179,615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(8.8%)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29.3%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70.7%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153,059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(8.4%)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27.8%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72.2%</w:t>
            </w:r>
          </w:p>
        </w:tc>
      </w:tr>
      <w:tr w:rsidR="00A14F93" w:rsidRPr="002E42CC" w:rsidTr="00473798">
        <w:tc>
          <w:tcPr>
            <w:tcW w:w="1985" w:type="dxa"/>
            <w:shd w:val="clear" w:color="auto" w:fill="8DB3E2" w:themeFill="text2" w:themeFillTint="66"/>
            <w:vAlign w:val="bottom"/>
          </w:tcPr>
          <w:p w:rsidR="00A14F93" w:rsidRPr="009C247B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0-15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292,268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(14.3%)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36.0%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64.0%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250,396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(13.7%)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35.6%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64.4%</w:t>
            </w:r>
          </w:p>
        </w:tc>
      </w:tr>
      <w:tr w:rsidR="00A14F93" w:rsidRPr="002E42CC" w:rsidTr="00473798">
        <w:tc>
          <w:tcPr>
            <w:tcW w:w="1985" w:type="dxa"/>
            <w:shd w:val="clear" w:color="auto" w:fill="8DB3E2" w:themeFill="text2" w:themeFillTint="66"/>
            <w:vAlign w:val="bottom"/>
          </w:tcPr>
          <w:p w:rsidR="00A14F93" w:rsidRPr="009C247B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2,039,275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53.0%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47.0%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1,824,999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53.9%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46.1%</w:t>
            </w:r>
          </w:p>
        </w:tc>
      </w:tr>
    </w:tbl>
    <w:p w:rsidR="00067D5D" w:rsidRPr="00067D5D" w:rsidRDefault="00067D5D" w:rsidP="00067D5D">
      <w:pPr>
        <w:ind w:left="360"/>
        <w:rPr>
          <w:rFonts w:ascii="Arial" w:hAnsi="Arial" w:cs="Arial"/>
          <w:b/>
          <w:color w:val="4F81BD" w:themeColor="accent1"/>
          <w:sz w:val="18"/>
          <w:szCs w:val="18"/>
        </w:rPr>
      </w:pPr>
    </w:p>
    <w:p w:rsidR="002E7952" w:rsidRPr="00FD44DB" w:rsidRDefault="002E7952" w:rsidP="002E7952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>In 2011, 45.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8</w:t>
      </w: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 xml:space="preserve">% of those </w:t>
      </w:r>
      <w:r w:rsidR="002B1F1F">
        <w:rPr>
          <w:rFonts w:ascii="Arial" w:hAnsi="Arial" w:cs="Arial"/>
          <w:b/>
          <w:color w:val="4F81BD" w:themeColor="accent1"/>
          <w:sz w:val="18"/>
          <w:szCs w:val="18"/>
        </w:rPr>
        <w:t xml:space="preserve">in Queensland </w:t>
      </w: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>who were employed and aged 15 years and over reported working 40</w:t>
      </w:r>
      <w:r w:rsidR="00067D5D">
        <w:rPr>
          <w:rFonts w:ascii="Arial" w:hAnsi="Arial" w:cs="Arial"/>
          <w:b/>
          <w:color w:val="4F81BD" w:themeColor="accent1"/>
          <w:sz w:val="18"/>
          <w:szCs w:val="18"/>
        </w:rPr>
        <w:t> </w:t>
      </w: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 xml:space="preserve">hours or more in the week prior to </w:t>
      </w:r>
      <w:r w:rsidR="002B1F1F">
        <w:rPr>
          <w:rFonts w:ascii="Arial" w:hAnsi="Arial" w:cs="Arial"/>
          <w:b/>
          <w:color w:val="4F81BD" w:themeColor="accent1"/>
          <w:sz w:val="18"/>
          <w:szCs w:val="18"/>
        </w:rPr>
        <w:t xml:space="preserve">the </w:t>
      </w: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>Census. A higher proportion of these were males (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68.9</w:t>
      </w: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>%).</w:t>
      </w:r>
    </w:p>
    <w:p w:rsidR="002E7952" w:rsidRDefault="002E7952" w:rsidP="002E7952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Between the 2006 and 2011 Census</w:t>
      </w:r>
      <w:r w:rsidR="00067D5D">
        <w:rPr>
          <w:rFonts w:ascii="Arial" w:hAnsi="Arial" w:cs="Arial"/>
          <w:b/>
          <w:color w:val="4F81BD" w:themeColor="accent1"/>
          <w:sz w:val="18"/>
          <w:szCs w:val="18"/>
        </w:rPr>
        <w:t>es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there was a two percentage point decline in the proportion of persons who reported working 40 hours or more (47.8% in 2006 compared to 45.8% in 2011).</w:t>
      </w:r>
    </w:p>
    <w:p w:rsidR="00D6793E" w:rsidRPr="00BF24A5" w:rsidRDefault="00067D5D" w:rsidP="00BF24A5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</w:t>
      </w:r>
      <w:r w:rsidR="002E7952">
        <w:rPr>
          <w:rFonts w:ascii="Arial" w:hAnsi="Arial" w:cs="Arial"/>
          <w:b/>
          <w:color w:val="4F81BD" w:themeColor="accent1"/>
          <w:sz w:val="18"/>
          <w:szCs w:val="18"/>
        </w:rPr>
        <w:t xml:space="preserve">14.3% of all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employed </w:t>
      </w:r>
      <w:r w:rsidR="002E7952">
        <w:rPr>
          <w:rFonts w:ascii="Arial" w:hAnsi="Arial" w:cs="Arial"/>
          <w:b/>
          <w:color w:val="4F81BD" w:themeColor="accent1"/>
          <w:sz w:val="18"/>
          <w:szCs w:val="18"/>
        </w:rPr>
        <w:t>persons aged 15 years and over reported working 0 to 15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 </w:t>
      </w:r>
      <w:r w:rsidR="002E7952">
        <w:rPr>
          <w:rFonts w:ascii="Arial" w:hAnsi="Arial" w:cs="Arial"/>
          <w:b/>
          <w:color w:val="4F81BD" w:themeColor="accent1"/>
          <w:sz w:val="18"/>
          <w:szCs w:val="18"/>
        </w:rPr>
        <w:t xml:space="preserve">hours in the week prior to </w:t>
      </w:r>
      <w:r w:rsidR="002B1F1F">
        <w:rPr>
          <w:rFonts w:ascii="Arial" w:hAnsi="Arial" w:cs="Arial"/>
          <w:b/>
          <w:color w:val="4F81BD" w:themeColor="accent1"/>
          <w:sz w:val="18"/>
          <w:szCs w:val="18"/>
        </w:rPr>
        <w:t xml:space="preserve">the </w:t>
      </w:r>
      <w:r w:rsidR="002E7952">
        <w:rPr>
          <w:rFonts w:ascii="Arial" w:hAnsi="Arial" w:cs="Arial"/>
          <w:b/>
          <w:color w:val="4F81BD" w:themeColor="accent1"/>
          <w:sz w:val="18"/>
          <w:szCs w:val="18"/>
        </w:rPr>
        <w:t>Census. A higher proportion of these were females (64.0%).</w:t>
      </w:r>
    </w:p>
    <w:p w:rsidR="00BF1EC3" w:rsidRDefault="00BF1EC3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BF24A5" w:rsidRDefault="00BF24A5" w:rsidP="00BF24A5">
      <w:pPr>
        <w:spacing w:after="0"/>
        <w:rPr>
          <w:rFonts w:ascii="Arial" w:hAnsi="Arial" w:cs="Arial"/>
          <w:b/>
          <w:sz w:val="28"/>
          <w:szCs w:val="28"/>
        </w:rPr>
      </w:pPr>
    </w:p>
    <w:p w:rsidR="00A14F93" w:rsidRPr="003836C7" w:rsidRDefault="00A14F93" w:rsidP="00A14F9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Queensland</w:t>
      </w:r>
    </w:p>
    <w:p w:rsidR="00BF1EC3" w:rsidRPr="00BF1EC3" w:rsidRDefault="00BF1EC3" w:rsidP="00A14F93">
      <w:pPr>
        <w:spacing w:after="0"/>
        <w:rPr>
          <w:rFonts w:ascii="Arial" w:hAnsi="Arial" w:cs="Arial"/>
          <w:b/>
          <w:sz w:val="28"/>
          <w:szCs w:val="28"/>
        </w:rPr>
      </w:pPr>
    </w:p>
    <w:p w:rsidR="005D2C2E" w:rsidRPr="00433831" w:rsidRDefault="0027431A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067D5D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="00233455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67D5D">
        <w:rPr>
          <w:rFonts w:ascii="Arial" w:hAnsi="Arial" w:cs="Arial"/>
          <w:b/>
          <w:color w:val="000000" w:themeColor="text1"/>
          <w:sz w:val="28"/>
          <w:szCs w:val="28"/>
        </w:rPr>
        <w:t>i</w:t>
      </w: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>ndustries</w:t>
      </w:r>
      <w:r w:rsidR="00B5694C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(employed persons aged </w:t>
      </w:r>
      <w:r w:rsidR="00067D5D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br/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15 years and over)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993"/>
        <w:gridCol w:w="1275"/>
        <w:gridCol w:w="1843"/>
        <w:gridCol w:w="851"/>
        <w:gridCol w:w="1275"/>
      </w:tblGrid>
      <w:tr w:rsidR="00276567" w:rsidRPr="008B58A5" w:rsidTr="00964903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gridSpan w:val="3"/>
            <w:shd w:val="clear" w:color="auto" w:fill="548DD4" w:themeFill="text2" w:themeFillTint="99"/>
          </w:tcPr>
          <w:p w:rsidR="00276567" w:rsidRPr="002E42CC" w:rsidRDefault="00276567" w:rsidP="002334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3969" w:type="dxa"/>
            <w:gridSpan w:val="3"/>
            <w:shd w:val="clear" w:color="auto" w:fill="548DD4" w:themeFill="text2" w:themeFillTint="99"/>
          </w:tcPr>
          <w:p w:rsidR="00276567" w:rsidRDefault="00276567" w:rsidP="002334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964903" w:rsidRPr="008B58A5" w:rsidTr="00473798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E42CC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276567" w:rsidRPr="002E42CC" w:rsidRDefault="00276567" w:rsidP="004737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276567" w:rsidRPr="002E42CC" w:rsidRDefault="00276567" w:rsidP="0047379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47379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276567" w:rsidRPr="002E42CC" w:rsidRDefault="00276567" w:rsidP="004737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276567" w:rsidRPr="002E42CC" w:rsidRDefault="00276567" w:rsidP="0047379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47379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A14F93" w:rsidRPr="008B58A5" w:rsidTr="00473798">
        <w:tc>
          <w:tcPr>
            <w:tcW w:w="2269" w:type="dxa"/>
            <w:shd w:val="clear" w:color="auto" w:fill="8DB3E2" w:themeFill="text2" w:themeFillTint="66"/>
            <w:vAlign w:val="bottom"/>
          </w:tcPr>
          <w:p w:rsidR="00A14F93" w:rsidRPr="00473798" w:rsidRDefault="00A14F93" w:rsidP="00473798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Health Care and Social Assistance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242,560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(11.9%)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21.1%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78.9%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186,335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(10.2%)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21.2%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78.8%</w:t>
            </w:r>
          </w:p>
        </w:tc>
      </w:tr>
      <w:tr w:rsidR="00A14F93" w:rsidRPr="008B58A5" w:rsidTr="00473798">
        <w:tc>
          <w:tcPr>
            <w:tcW w:w="2269" w:type="dxa"/>
            <w:shd w:val="clear" w:color="auto" w:fill="8DB3E2" w:themeFill="text2" w:themeFillTint="66"/>
            <w:vAlign w:val="bottom"/>
          </w:tcPr>
          <w:p w:rsidR="00A14F93" w:rsidRPr="00473798" w:rsidRDefault="00A14F93" w:rsidP="00473798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 xml:space="preserve">Retail Trade 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217,610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(10.7%)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40.7%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59.3%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212,422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(11.6%)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41.9%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58.1%</w:t>
            </w:r>
          </w:p>
        </w:tc>
      </w:tr>
      <w:tr w:rsidR="00A14F93" w:rsidRPr="008B58A5" w:rsidTr="00473798">
        <w:tc>
          <w:tcPr>
            <w:tcW w:w="2269" w:type="dxa"/>
            <w:shd w:val="clear" w:color="auto" w:fill="8DB3E2" w:themeFill="text2" w:themeFillTint="66"/>
            <w:vAlign w:val="bottom"/>
          </w:tcPr>
          <w:p w:rsidR="00A14F93" w:rsidRPr="00473798" w:rsidRDefault="00A14F93" w:rsidP="00473798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Construction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183,779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(9.0%)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85.6%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14.4%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164,936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(9.0%)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85.6%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14.4%</w:t>
            </w:r>
          </w:p>
        </w:tc>
      </w:tr>
      <w:tr w:rsidR="00A14F93" w:rsidRPr="008B58A5" w:rsidTr="00473798">
        <w:tc>
          <w:tcPr>
            <w:tcW w:w="2269" w:type="dxa"/>
            <w:shd w:val="clear" w:color="auto" w:fill="8DB3E2" w:themeFill="text2" w:themeFillTint="66"/>
            <w:vAlign w:val="bottom"/>
          </w:tcPr>
          <w:p w:rsidR="00A14F93" w:rsidRPr="00473798" w:rsidRDefault="00A14F93" w:rsidP="00473798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Manufacturing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171,668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(8.4%)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75.6%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24.4%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180,212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(9.9%)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75.9%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24.1%</w:t>
            </w:r>
          </w:p>
        </w:tc>
      </w:tr>
      <w:tr w:rsidR="00A14F93" w:rsidRPr="008B58A5" w:rsidTr="00473798">
        <w:tc>
          <w:tcPr>
            <w:tcW w:w="2269" w:type="dxa"/>
            <w:shd w:val="clear" w:color="auto" w:fill="8DB3E2" w:themeFill="text2" w:themeFillTint="66"/>
            <w:vAlign w:val="bottom"/>
          </w:tcPr>
          <w:p w:rsidR="00A14F93" w:rsidRPr="00473798" w:rsidRDefault="00A14F93" w:rsidP="00473798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 xml:space="preserve"> Education and Training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160,922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(7.9%)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28.4%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71.6%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139,089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(7.6%)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29.0%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71.0%</w:t>
            </w:r>
          </w:p>
        </w:tc>
      </w:tr>
      <w:tr w:rsidR="00A14F93" w:rsidRPr="008B58A5" w:rsidTr="00473798">
        <w:tc>
          <w:tcPr>
            <w:tcW w:w="2269" w:type="dxa"/>
            <w:shd w:val="clear" w:color="auto" w:fill="8DB3E2" w:themeFill="text2" w:themeFillTint="66"/>
          </w:tcPr>
          <w:p w:rsidR="00A14F93" w:rsidRPr="002A47EB" w:rsidRDefault="00A14F93" w:rsidP="00A14F9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A47EB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2,039,275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53.0%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47.0%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1,824,999</w:t>
            </w:r>
            <w:r w:rsidR="00067D5D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53.9%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46.1%</w:t>
            </w:r>
          </w:p>
        </w:tc>
      </w:tr>
    </w:tbl>
    <w:p w:rsidR="002E7952" w:rsidRDefault="002E7952" w:rsidP="002E7952">
      <w:pPr>
        <w:rPr>
          <w:rFonts w:ascii="Arial" w:hAnsi="Arial" w:cs="Arial"/>
          <w:b/>
        </w:rPr>
      </w:pPr>
    </w:p>
    <w:p w:rsidR="002E7952" w:rsidRDefault="002E7952" w:rsidP="002E7952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>In 2011, the largest</w:t>
      </w:r>
      <w:r w:rsidR="00067D5D">
        <w:rPr>
          <w:rFonts w:ascii="Arial" w:hAnsi="Arial" w:cs="Arial"/>
          <w:b/>
          <w:color w:val="4F81BD" w:themeColor="accent1"/>
          <w:sz w:val="18"/>
          <w:szCs w:val="18"/>
        </w:rPr>
        <w:t xml:space="preserve"> proportion of employed persons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 aged 15 years and over reported working in the Hea</w:t>
      </w:r>
      <w:r w:rsidR="00067D5D">
        <w:rPr>
          <w:rFonts w:ascii="Arial" w:hAnsi="Arial" w:cs="Arial"/>
          <w:b/>
          <w:color w:val="4F81BD" w:themeColor="accent1"/>
          <w:sz w:val="18"/>
          <w:szCs w:val="18"/>
        </w:rPr>
        <w:t>lth Care and Social Assistance i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>ndustry (11.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9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%). </w:t>
      </w:r>
    </w:p>
    <w:p w:rsidR="002E7952" w:rsidRPr="00BB4CAD" w:rsidRDefault="002E7952" w:rsidP="002E7952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In 2006, the Retail Trade industry was the most </w:t>
      </w:r>
      <w:r w:rsidR="00067D5D">
        <w:rPr>
          <w:rFonts w:ascii="Arial" w:hAnsi="Arial" w:cs="Arial"/>
          <w:b/>
          <w:bCs/>
          <w:color w:val="4181C0"/>
          <w:sz w:val="18"/>
          <w:szCs w:val="18"/>
        </w:rPr>
        <w:t xml:space="preserve">frequently 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>reported response for employed persons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aged 15 years and over (11.6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%). The proportion of those who reported being </w:t>
      </w:r>
      <w:r w:rsidR="00EF2740">
        <w:rPr>
          <w:rFonts w:ascii="Arial" w:hAnsi="Arial" w:cs="Arial"/>
          <w:b/>
          <w:bCs/>
          <w:color w:val="4181C0"/>
          <w:sz w:val="18"/>
          <w:szCs w:val="18"/>
        </w:rPr>
        <w:t>employed in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this industry declined to 10.</w:t>
      </w:r>
      <w:r>
        <w:rPr>
          <w:rFonts w:ascii="Arial" w:hAnsi="Arial" w:cs="Arial"/>
          <w:b/>
          <w:bCs/>
          <w:color w:val="4181C0"/>
          <w:sz w:val="18"/>
          <w:szCs w:val="18"/>
        </w:rPr>
        <w:t>7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% in 2011, however there has been a </w:t>
      </w:r>
      <w:r>
        <w:rPr>
          <w:rFonts w:ascii="Arial" w:hAnsi="Arial" w:cs="Arial"/>
          <w:b/>
          <w:bCs/>
          <w:color w:val="4181C0"/>
          <w:sz w:val="18"/>
          <w:szCs w:val="18"/>
        </w:rPr>
        <w:t>minor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increase in the number of persons employed in this industry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(5,188 persons)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2E7952" w:rsidRPr="001F6ED0" w:rsidRDefault="002E7952" w:rsidP="002E7952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proportion of those who reported Manufacturing as their industry of employment has declined </w:t>
      </w:r>
      <w:r w:rsidR="00EF2740">
        <w:rPr>
          <w:rFonts w:ascii="Arial" w:hAnsi="Arial" w:cs="Arial"/>
          <w:b/>
          <w:bCs/>
          <w:color w:val="4181C0"/>
          <w:sz w:val="18"/>
          <w:szCs w:val="18"/>
        </w:rPr>
        <w:t>from 9.9% in 2006 to 8.4% 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>. There has</w:t>
      </w:r>
      <w:r w:rsidR="00EF2740">
        <w:rPr>
          <w:rFonts w:ascii="Arial" w:hAnsi="Arial" w:cs="Arial"/>
          <w:b/>
          <w:bCs/>
          <w:color w:val="4181C0"/>
          <w:sz w:val="18"/>
          <w:szCs w:val="18"/>
        </w:rPr>
        <w:t xml:space="preserve"> also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been a decline in the number of persons who reported being employed in this industry (8,5</w:t>
      </w:r>
      <w:r w:rsidR="00C94EFE">
        <w:rPr>
          <w:rFonts w:ascii="Arial" w:hAnsi="Arial" w:cs="Arial"/>
          <w:b/>
          <w:bCs/>
          <w:color w:val="4181C0"/>
          <w:sz w:val="18"/>
          <w:szCs w:val="18"/>
        </w:rPr>
        <w:t>4</w:t>
      </w:r>
      <w:bookmarkStart w:id="0" w:name="_GoBack"/>
      <w:bookmarkEnd w:id="0"/>
      <w:r>
        <w:rPr>
          <w:rFonts w:ascii="Arial" w:hAnsi="Arial" w:cs="Arial"/>
          <w:b/>
          <w:bCs/>
          <w:color w:val="4181C0"/>
          <w:sz w:val="18"/>
          <w:szCs w:val="18"/>
        </w:rPr>
        <w:t>4 persons).</w:t>
      </w:r>
    </w:p>
    <w:p w:rsidR="002E7952" w:rsidRDefault="002E7952" w:rsidP="002E7952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In 2011, of those who reported working in the Manufacturing industry, </w:t>
      </w:r>
      <w:r>
        <w:rPr>
          <w:rFonts w:ascii="Arial" w:hAnsi="Arial" w:cs="Arial"/>
          <w:b/>
          <w:bCs/>
          <w:color w:val="4181C0"/>
          <w:sz w:val="18"/>
          <w:szCs w:val="18"/>
        </w:rPr>
        <w:t>75.6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% were males. </w:t>
      </w:r>
    </w:p>
    <w:p w:rsidR="006B4BFF" w:rsidRPr="00BF24A5" w:rsidRDefault="002E7952" w:rsidP="006B4BFF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In 2011, of those employed in t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>he industr</w:t>
      </w:r>
      <w:r w:rsidR="00EF2740">
        <w:rPr>
          <w:rFonts w:ascii="Arial" w:hAnsi="Arial" w:cs="Arial"/>
          <w:b/>
          <w:bCs/>
          <w:color w:val="4181C0"/>
          <w:sz w:val="18"/>
          <w:szCs w:val="18"/>
        </w:rPr>
        <w:t>ies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 of Health Care and Social Assistance, Education and Training</w:t>
      </w:r>
      <w:r w:rsidR="00EF2740"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 and Retail Trade</w:t>
      </w:r>
      <w:r>
        <w:rPr>
          <w:rFonts w:ascii="Arial" w:hAnsi="Arial" w:cs="Arial"/>
          <w:b/>
          <w:bCs/>
          <w:color w:val="4181C0"/>
          <w:sz w:val="18"/>
          <w:szCs w:val="18"/>
        </w:rPr>
        <w:t>, a higher proportion were females (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>7</w:t>
      </w:r>
      <w:r>
        <w:rPr>
          <w:rFonts w:ascii="Arial" w:hAnsi="Arial" w:cs="Arial"/>
          <w:b/>
          <w:bCs/>
          <w:color w:val="4181C0"/>
          <w:sz w:val="18"/>
          <w:szCs w:val="18"/>
        </w:rPr>
        <w:t>8.9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%, </w:t>
      </w:r>
      <w:r>
        <w:rPr>
          <w:rFonts w:ascii="Arial" w:hAnsi="Arial" w:cs="Arial"/>
          <w:b/>
          <w:bCs/>
          <w:color w:val="4181C0"/>
          <w:sz w:val="18"/>
          <w:szCs w:val="18"/>
        </w:rPr>
        <w:t>71.6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>% and 5</w:t>
      </w:r>
      <w:r>
        <w:rPr>
          <w:rFonts w:ascii="Arial" w:hAnsi="Arial" w:cs="Arial"/>
          <w:b/>
          <w:bCs/>
          <w:color w:val="4181C0"/>
          <w:sz w:val="18"/>
          <w:szCs w:val="18"/>
        </w:rPr>
        <w:t>9.3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>% respectively</w:t>
      </w:r>
      <w:r>
        <w:rPr>
          <w:rFonts w:ascii="Arial" w:hAnsi="Arial" w:cs="Arial"/>
          <w:b/>
          <w:bCs/>
          <w:color w:val="4181C0"/>
          <w:sz w:val="18"/>
          <w:szCs w:val="18"/>
        </w:rPr>
        <w:t>).</w:t>
      </w:r>
    </w:p>
    <w:p w:rsidR="00BF24A5" w:rsidRDefault="00BF24A5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F24A5" w:rsidRDefault="00BF24A5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F24A5" w:rsidRDefault="00BF24A5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F24A5" w:rsidRDefault="00BF24A5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F24A5" w:rsidRDefault="00BF24A5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F24A5" w:rsidRDefault="00BF24A5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F24A5" w:rsidRDefault="00BF24A5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F24A5" w:rsidRDefault="00BF24A5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F24A5" w:rsidRDefault="00BF24A5" w:rsidP="007752A8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F24A5" w:rsidRDefault="00BF24A5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7752A8" w:rsidRDefault="007752A8" w:rsidP="007752A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Queensland</w:t>
      </w:r>
    </w:p>
    <w:p w:rsidR="00BF24A5" w:rsidRDefault="00BF24A5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33455" w:rsidRPr="00433831" w:rsidRDefault="00EF2740" w:rsidP="00B569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Top five</w:t>
      </w:r>
      <w:r w:rsidR="00936274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233455" w:rsidRPr="00433831">
        <w:rPr>
          <w:rFonts w:ascii="Arial" w:hAnsi="Arial" w:cs="Arial"/>
          <w:b/>
          <w:color w:val="000000" w:themeColor="text1"/>
          <w:sz w:val="28"/>
          <w:szCs w:val="28"/>
        </w:rPr>
        <w:t>Occupations</w:t>
      </w:r>
      <w:r w:rsidR="00B5694C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(employed persons aged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br/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15 years and over)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851"/>
        <w:gridCol w:w="1134"/>
        <w:gridCol w:w="1842"/>
        <w:gridCol w:w="993"/>
        <w:gridCol w:w="1275"/>
      </w:tblGrid>
      <w:tr w:rsidR="00276567" w:rsidRPr="008B58A5" w:rsidTr="00740DF9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3"/>
            <w:shd w:val="clear" w:color="auto" w:fill="548DD4" w:themeFill="text2" w:themeFillTint="99"/>
          </w:tcPr>
          <w:p w:rsidR="00276567" w:rsidRPr="002E42CC" w:rsidRDefault="00276567" w:rsidP="002765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0" w:type="dxa"/>
            <w:gridSpan w:val="3"/>
            <w:shd w:val="clear" w:color="auto" w:fill="548DD4" w:themeFill="text2" w:themeFillTint="99"/>
          </w:tcPr>
          <w:p w:rsidR="00276567" w:rsidRDefault="00276567" w:rsidP="002765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8B58A5" w:rsidTr="00473798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E42CC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276567" w:rsidRPr="002E42CC" w:rsidRDefault="00276567" w:rsidP="004737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276567" w:rsidRPr="002E42CC" w:rsidRDefault="00276567" w:rsidP="0047379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276567" w:rsidRPr="002E42CC" w:rsidRDefault="00276567" w:rsidP="0047379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276567" w:rsidRPr="002E42CC" w:rsidRDefault="00276567" w:rsidP="004737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276567" w:rsidRPr="002E42CC" w:rsidRDefault="00276567" w:rsidP="0047379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47379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A14F93" w:rsidRPr="00726F2A" w:rsidTr="00473798">
        <w:tc>
          <w:tcPr>
            <w:tcW w:w="2411" w:type="dxa"/>
            <w:shd w:val="clear" w:color="auto" w:fill="8DB3E2" w:themeFill="text2" w:themeFillTint="66"/>
            <w:vAlign w:val="center"/>
          </w:tcPr>
          <w:p w:rsidR="00A14F93" w:rsidRPr="00473798" w:rsidRDefault="00A14F93" w:rsidP="00A14F93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Professionals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385,582</w:t>
            </w:r>
            <w:r w:rsidR="000710F0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(18.9%)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44.7%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55.3%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312,869</w:t>
            </w:r>
            <w:r w:rsidR="000710F0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(17.1%)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46.2%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53.8%</w:t>
            </w:r>
          </w:p>
        </w:tc>
      </w:tr>
      <w:tr w:rsidR="00A14F93" w:rsidRPr="00726F2A" w:rsidTr="00473798">
        <w:tc>
          <w:tcPr>
            <w:tcW w:w="2411" w:type="dxa"/>
            <w:shd w:val="clear" w:color="auto" w:fill="8DB3E2" w:themeFill="text2" w:themeFillTint="66"/>
            <w:vAlign w:val="center"/>
          </w:tcPr>
          <w:p w:rsidR="00A14F93" w:rsidRPr="00473798" w:rsidRDefault="00A14F93" w:rsidP="00A14F93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Technicians and Trades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304,563</w:t>
            </w:r>
            <w:r w:rsidR="000710F0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(14.9%)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85.8%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14.2%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280,340</w:t>
            </w:r>
            <w:r w:rsidR="000710F0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(15.4%)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85.9%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14.1%</w:t>
            </w:r>
          </w:p>
        </w:tc>
      </w:tr>
      <w:tr w:rsidR="00A14F93" w:rsidRPr="00726F2A" w:rsidTr="00473798">
        <w:tc>
          <w:tcPr>
            <w:tcW w:w="2411" w:type="dxa"/>
            <w:shd w:val="clear" w:color="auto" w:fill="8DB3E2" w:themeFill="text2" w:themeFillTint="66"/>
            <w:vAlign w:val="center"/>
          </w:tcPr>
          <w:p w:rsidR="00A14F93" w:rsidRPr="00473798" w:rsidRDefault="00A14F93" w:rsidP="00A14F93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Clerical and Administrative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299,326</w:t>
            </w:r>
            <w:r w:rsidR="000710F0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(14.7%)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21.0%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79.0%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269,198</w:t>
            </w:r>
            <w:r w:rsidR="000710F0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(14.8%)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21.0%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79.0%</w:t>
            </w:r>
          </w:p>
        </w:tc>
      </w:tr>
      <w:tr w:rsidR="00A14F93" w:rsidRPr="00726F2A" w:rsidTr="00473798">
        <w:tc>
          <w:tcPr>
            <w:tcW w:w="2411" w:type="dxa"/>
            <w:shd w:val="clear" w:color="auto" w:fill="8DB3E2" w:themeFill="text2" w:themeFillTint="66"/>
            <w:vAlign w:val="center"/>
          </w:tcPr>
          <w:p w:rsidR="00A14F93" w:rsidRPr="00473798" w:rsidRDefault="00A14F93" w:rsidP="00A14F93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Managers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245,605</w:t>
            </w:r>
            <w:r w:rsidR="000710F0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(12.0%)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63.4%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36.6%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225,693</w:t>
            </w:r>
            <w:r w:rsidR="000710F0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(12.4%)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64.3%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35.7%</w:t>
            </w:r>
          </w:p>
        </w:tc>
      </w:tr>
      <w:tr w:rsidR="00A14F93" w:rsidRPr="00726F2A" w:rsidTr="00473798">
        <w:tc>
          <w:tcPr>
            <w:tcW w:w="2411" w:type="dxa"/>
            <w:shd w:val="clear" w:color="auto" w:fill="8DB3E2" w:themeFill="text2" w:themeFillTint="66"/>
            <w:vAlign w:val="center"/>
          </w:tcPr>
          <w:p w:rsidR="00A14F93" w:rsidRPr="00473798" w:rsidRDefault="00A14F93" w:rsidP="00A14F93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Labourers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215,232</w:t>
            </w:r>
            <w:r w:rsidR="000710F0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(10.6%)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63.7%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36.3%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217,251</w:t>
            </w:r>
            <w:r w:rsidR="000710F0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(11.9%)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63.5%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36.5%</w:t>
            </w:r>
          </w:p>
        </w:tc>
      </w:tr>
      <w:tr w:rsidR="00A14F93" w:rsidRPr="00726F2A" w:rsidTr="00473798">
        <w:tc>
          <w:tcPr>
            <w:tcW w:w="2411" w:type="dxa"/>
            <w:shd w:val="clear" w:color="auto" w:fill="8DB3E2" w:themeFill="text2" w:themeFillTint="66"/>
            <w:vAlign w:val="center"/>
          </w:tcPr>
          <w:p w:rsidR="00A14F93" w:rsidRPr="00473798" w:rsidRDefault="00A14F93" w:rsidP="00A14F9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3798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2,039,275</w:t>
            </w:r>
            <w:r w:rsidR="000710F0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53.0%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47.0%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1,824,999</w:t>
            </w:r>
            <w:r w:rsidR="000710F0" w:rsidRPr="004737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798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53.9%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46.1%</w:t>
            </w:r>
          </w:p>
        </w:tc>
      </w:tr>
    </w:tbl>
    <w:p w:rsidR="002E7952" w:rsidRDefault="002E7952" w:rsidP="002E7952">
      <w:pPr>
        <w:rPr>
          <w:rFonts w:ascii="Arial" w:hAnsi="Arial" w:cs="Arial"/>
          <w:b/>
        </w:rPr>
      </w:pPr>
    </w:p>
    <w:p w:rsidR="002E7952" w:rsidRPr="00C64D05" w:rsidRDefault="002E7952" w:rsidP="002E7952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 w:rsidRPr="00C64D05">
        <w:rPr>
          <w:rFonts w:ascii="Arial" w:hAnsi="Arial" w:cs="Arial"/>
          <w:b/>
          <w:bCs/>
          <w:color w:val="4181C0"/>
          <w:sz w:val="18"/>
          <w:szCs w:val="18"/>
        </w:rPr>
        <w:t>In 2011, 18.9% of employed persons aged 15 year</w:t>
      </w:r>
      <w:r w:rsidR="00CE2643">
        <w:rPr>
          <w:rFonts w:ascii="Arial" w:hAnsi="Arial" w:cs="Arial"/>
          <w:b/>
          <w:bCs/>
          <w:color w:val="4181C0"/>
          <w:sz w:val="18"/>
          <w:szCs w:val="18"/>
        </w:rPr>
        <w:t>s and over reported working as P</w:t>
      </w:r>
      <w:r w:rsidRPr="00C64D05">
        <w:rPr>
          <w:rFonts w:ascii="Arial" w:hAnsi="Arial" w:cs="Arial"/>
          <w:b/>
          <w:bCs/>
          <w:color w:val="4181C0"/>
          <w:sz w:val="18"/>
          <w:szCs w:val="18"/>
        </w:rPr>
        <w:t xml:space="preserve">rofessionals. Of those who reported working as </w:t>
      </w:r>
      <w:r w:rsidR="00C64D05">
        <w:rPr>
          <w:rFonts w:ascii="Arial" w:hAnsi="Arial" w:cs="Arial"/>
          <w:b/>
          <w:bCs/>
          <w:color w:val="4181C0"/>
          <w:sz w:val="18"/>
          <w:szCs w:val="18"/>
        </w:rPr>
        <w:t>P</w:t>
      </w:r>
      <w:r w:rsidRPr="00C64D05">
        <w:rPr>
          <w:rFonts w:ascii="Arial" w:hAnsi="Arial" w:cs="Arial"/>
          <w:b/>
          <w:bCs/>
          <w:color w:val="4181C0"/>
          <w:sz w:val="18"/>
          <w:szCs w:val="18"/>
        </w:rPr>
        <w:t>rofessionals, 55.3% were females.</w:t>
      </w:r>
    </w:p>
    <w:p w:rsidR="002E7952" w:rsidRPr="00C64D05" w:rsidRDefault="002E7952" w:rsidP="002E7952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Th</w:t>
      </w:r>
      <w:r w:rsidR="00C64D05">
        <w:rPr>
          <w:rFonts w:ascii="Arial" w:hAnsi="Arial" w:cs="Arial"/>
          <w:b/>
          <w:bCs/>
          <w:color w:val="4181C0"/>
          <w:sz w:val="18"/>
          <w:szCs w:val="18"/>
        </w:rPr>
        <w:t>e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proportion of </w:t>
      </w:r>
      <w:r w:rsidR="00C64D05" w:rsidRPr="00C64D05">
        <w:rPr>
          <w:rFonts w:ascii="Arial" w:hAnsi="Arial" w:cs="Arial"/>
          <w:b/>
          <w:bCs/>
          <w:color w:val="4181C0"/>
          <w:sz w:val="18"/>
          <w:szCs w:val="18"/>
        </w:rPr>
        <w:t>employed persons aged 15 years and over</w:t>
      </w:r>
      <w:r w:rsidR="00C64D05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who reported working as Professionals has increased by 1.8 percentage point to 18.9% in 2011 from 17.1% in 2006.</w:t>
      </w:r>
    </w:p>
    <w:p w:rsidR="002E7952" w:rsidRPr="00C64D05" w:rsidRDefault="002E7952" w:rsidP="002E7952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 w:rsidRPr="00F12F57">
        <w:rPr>
          <w:rFonts w:ascii="Arial" w:hAnsi="Arial" w:cs="Arial"/>
          <w:b/>
          <w:bCs/>
          <w:color w:val="4181C0"/>
          <w:sz w:val="18"/>
          <w:szCs w:val="18"/>
        </w:rPr>
        <w:t xml:space="preserve">The proportion of </w:t>
      </w:r>
      <w:r w:rsidR="00C64D05" w:rsidRPr="00C64D05">
        <w:rPr>
          <w:rFonts w:ascii="Arial" w:hAnsi="Arial" w:cs="Arial"/>
          <w:b/>
          <w:bCs/>
          <w:color w:val="4181C0"/>
          <w:sz w:val="18"/>
          <w:szCs w:val="18"/>
        </w:rPr>
        <w:t>employed persons aged 15 years and over</w:t>
      </w:r>
      <w:r w:rsidR="00C64D05" w:rsidRPr="00F12F57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Pr="00F12F57">
        <w:rPr>
          <w:rFonts w:ascii="Arial" w:hAnsi="Arial" w:cs="Arial"/>
          <w:b/>
          <w:bCs/>
          <w:color w:val="4181C0"/>
          <w:sz w:val="18"/>
          <w:szCs w:val="18"/>
        </w:rPr>
        <w:t xml:space="preserve">who reported working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as </w:t>
      </w:r>
      <w:r w:rsidRPr="00F12F57">
        <w:rPr>
          <w:rFonts w:ascii="Arial" w:hAnsi="Arial" w:cs="Arial"/>
          <w:b/>
          <w:bCs/>
          <w:color w:val="4181C0"/>
          <w:sz w:val="18"/>
          <w:szCs w:val="18"/>
        </w:rPr>
        <w:t xml:space="preserve">Labourers declined </w:t>
      </w:r>
      <w:r>
        <w:rPr>
          <w:rFonts w:ascii="Arial" w:hAnsi="Arial" w:cs="Arial"/>
          <w:b/>
          <w:bCs/>
          <w:color w:val="4181C0"/>
          <w:sz w:val="18"/>
          <w:szCs w:val="18"/>
        </w:rPr>
        <w:t>(</w:t>
      </w:r>
      <w:r w:rsidRPr="00F12F57">
        <w:rPr>
          <w:rFonts w:ascii="Arial" w:hAnsi="Arial" w:cs="Arial"/>
          <w:b/>
          <w:bCs/>
          <w:color w:val="4181C0"/>
          <w:sz w:val="18"/>
          <w:szCs w:val="18"/>
        </w:rPr>
        <w:t xml:space="preserve">by 1.3 percentage point </w:t>
      </w:r>
      <w:r w:rsidR="00C64D05" w:rsidRPr="00F12F57">
        <w:rPr>
          <w:rFonts w:ascii="Arial" w:hAnsi="Arial" w:cs="Arial"/>
          <w:b/>
          <w:bCs/>
          <w:color w:val="4181C0"/>
          <w:sz w:val="18"/>
          <w:szCs w:val="18"/>
        </w:rPr>
        <w:t>from 11.9% in 2006</w:t>
      </w:r>
      <w:r w:rsidR="00C64D05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Pr="00F12F57">
        <w:rPr>
          <w:rFonts w:ascii="Arial" w:hAnsi="Arial" w:cs="Arial"/>
          <w:b/>
          <w:bCs/>
          <w:color w:val="4181C0"/>
          <w:sz w:val="18"/>
          <w:szCs w:val="18"/>
        </w:rPr>
        <w:t xml:space="preserve">to 10.6% in 2011. There was also </w:t>
      </w:r>
      <w:r w:rsidR="00C64D05"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F12F57">
        <w:rPr>
          <w:rFonts w:ascii="Arial" w:hAnsi="Arial" w:cs="Arial"/>
          <w:b/>
          <w:bCs/>
          <w:color w:val="4181C0"/>
          <w:sz w:val="18"/>
          <w:szCs w:val="18"/>
        </w:rPr>
        <w:t xml:space="preserve">decline in </w:t>
      </w:r>
      <w:r w:rsidR="00C64D05"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 w:rsidRPr="00F12F57">
        <w:rPr>
          <w:rFonts w:ascii="Arial" w:hAnsi="Arial" w:cs="Arial"/>
          <w:b/>
          <w:bCs/>
          <w:color w:val="4181C0"/>
          <w:sz w:val="18"/>
          <w:szCs w:val="18"/>
        </w:rPr>
        <w:t xml:space="preserve">number of persons who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reported working as Labourers (2,019 persons).  </w:t>
      </w:r>
    </w:p>
    <w:p w:rsidR="002E7952" w:rsidRPr="00C64D05" w:rsidRDefault="002E7952" w:rsidP="002E7952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There was a slight decline in the proportion of </w:t>
      </w:r>
      <w:r w:rsidR="00C64D05" w:rsidRPr="00C64D05">
        <w:rPr>
          <w:rFonts w:ascii="Arial" w:hAnsi="Arial" w:cs="Arial"/>
          <w:b/>
          <w:bCs/>
          <w:color w:val="4181C0"/>
          <w:sz w:val="18"/>
          <w:szCs w:val="18"/>
        </w:rPr>
        <w:t>employed persons aged 15 years and over</w:t>
      </w:r>
      <w:r w:rsidR="00C64D05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who reported working as Technicians and Trade Workers (from 15.4% in 2006 to 14.9% in 2011), but there was</w:t>
      </w:r>
      <w:r w:rsidR="00C64D05">
        <w:rPr>
          <w:rFonts w:ascii="Arial" w:hAnsi="Arial" w:cs="Arial"/>
          <w:b/>
          <w:bCs/>
          <w:color w:val="4181C0"/>
          <w:sz w:val="18"/>
          <w:szCs w:val="18"/>
        </w:rPr>
        <w:t xml:space="preserve"> an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increase in </w:t>
      </w:r>
      <w:r w:rsidR="00C64D05"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number of persons who reported working in this occupation (24,223 persons).</w:t>
      </w:r>
    </w:p>
    <w:p w:rsidR="002E7952" w:rsidRPr="00C64D05" w:rsidRDefault="002E7952" w:rsidP="002E7952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</w:t>
      </w:r>
      <w:r w:rsidR="00C64D05" w:rsidRPr="00C64D05">
        <w:rPr>
          <w:rFonts w:ascii="Arial" w:hAnsi="Arial" w:cs="Arial"/>
          <w:b/>
          <w:bCs/>
          <w:color w:val="4181C0"/>
          <w:sz w:val="18"/>
          <w:szCs w:val="18"/>
        </w:rPr>
        <w:t>employed persons aged 15 years and over</w:t>
      </w:r>
      <w:r w:rsidR="00C64D05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who reported working as Technicians and Trades Workers (14.9%), a higher proportion were males (85.8%). This compared to 14.7% of persons reporting as Clerical and Administrative workers</w:t>
      </w:r>
      <w:r w:rsidR="00C64D05">
        <w:rPr>
          <w:rFonts w:ascii="Arial" w:hAnsi="Arial" w:cs="Arial"/>
          <w:b/>
          <w:bCs/>
          <w:color w:val="4181C0"/>
          <w:sz w:val="18"/>
          <w:szCs w:val="18"/>
        </w:rPr>
        <w:t>,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</w:t>
      </w:r>
      <w:r w:rsidR="008A1C74">
        <w:rPr>
          <w:rFonts w:ascii="Arial" w:hAnsi="Arial" w:cs="Arial"/>
          <w:b/>
          <w:bCs/>
          <w:color w:val="4181C0"/>
          <w:sz w:val="18"/>
          <w:szCs w:val="18"/>
        </w:rPr>
        <w:t>whom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79.0% were females.</w:t>
      </w:r>
    </w:p>
    <w:p w:rsidR="002E7952" w:rsidRDefault="002E7952" w:rsidP="002E7952">
      <w:pPr>
        <w:rPr>
          <w:rFonts w:ascii="Arial" w:hAnsi="Arial" w:cs="Arial"/>
          <w:b/>
        </w:rPr>
      </w:pPr>
    </w:p>
    <w:p w:rsidR="00CE1624" w:rsidRPr="00726F2A" w:rsidRDefault="00CE1624" w:rsidP="002E7952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2E7952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2E7952">
      <w:pPr>
        <w:pStyle w:val="ListParagraph"/>
        <w:rPr>
          <w:rFonts w:ascii="Arial" w:hAnsi="Arial" w:cs="Arial"/>
          <w:b/>
          <w:color w:val="000000" w:themeColor="text1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793E" w:rsidRDefault="00D6793E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793E" w:rsidRDefault="00D6793E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24A5" w:rsidRDefault="00BF24A5" w:rsidP="00A14F9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F24A5" w:rsidRDefault="00BF24A5" w:rsidP="00A14F9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F24A5" w:rsidRDefault="00BF24A5" w:rsidP="00A14F9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F24A5" w:rsidRDefault="00BF24A5" w:rsidP="00A14F9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A14F93" w:rsidRPr="003836C7" w:rsidRDefault="00A14F93" w:rsidP="00A14F9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Queensland</w:t>
      </w:r>
    </w:p>
    <w:p w:rsidR="00740DF9" w:rsidRPr="00BF1EC3" w:rsidRDefault="00740DF9" w:rsidP="00A14F93">
      <w:pPr>
        <w:spacing w:after="0"/>
        <w:rPr>
          <w:rFonts w:ascii="Arial" w:hAnsi="Arial" w:cs="Arial"/>
          <w:b/>
          <w:sz w:val="28"/>
          <w:szCs w:val="28"/>
        </w:rPr>
      </w:pPr>
    </w:p>
    <w:p w:rsidR="002A47EB" w:rsidRPr="00433831" w:rsidRDefault="002A47EB" w:rsidP="002A47EB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Highest Level of Education (all persons aged 15 years and over)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879"/>
        <w:gridCol w:w="1949"/>
        <w:gridCol w:w="992"/>
        <w:gridCol w:w="1126"/>
        <w:gridCol w:w="1848"/>
        <w:gridCol w:w="1327"/>
        <w:gridCol w:w="1369"/>
      </w:tblGrid>
      <w:tr w:rsidR="002A47EB" w:rsidTr="00E640DC">
        <w:tc>
          <w:tcPr>
            <w:tcW w:w="187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2A47EB" w:rsidRPr="002E42CC" w:rsidRDefault="002A47EB" w:rsidP="002A47EB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067" w:type="dxa"/>
            <w:gridSpan w:val="3"/>
            <w:shd w:val="clear" w:color="auto" w:fill="548DD4" w:themeFill="text2" w:themeFillTint="99"/>
          </w:tcPr>
          <w:p w:rsidR="002A47EB" w:rsidRPr="000A21E0" w:rsidRDefault="002A47EB" w:rsidP="002A47EB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544" w:type="dxa"/>
            <w:gridSpan w:val="3"/>
            <w:shd w:val="clear" w:color="auto" w:fill="548DD4" w:themeFill="text2" w:themeFillTint="99"/>
          </w:tcPr>
          <w:p w:rsidR="002A47EB" w:rsidRPr="000A21E0" w:rsidRDefault="002A47EB" w:rsidP="002A47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A47EB" w:rsidTr="00473798">
        <w:tc>
          <w:tcPr>
            <w:tcW w:w="1879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2A47EB" w:rsidRPr="002E42CC" w:rsidRDefault="002A47EB" w:rsidP="002A47EB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49" w:type="dxa"/>
            <w:shd w:val="clear" w:color="auto" w:fill="8DB3E2" w:themeFill="text2" w:themeFillTint="66"/>
            <w:vAlign w:val="center"/>
          </w:tcPr>
          <w:p w:rsidR="002A47EB" w:rsidRPr="002E42CC" w:rsidRDefault="002A47EB" w:rsidP="004737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2A47EB" w:rsidRPr="002E42CC" w:rsidRDefault="002A47EB" w:rsidP="004737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</w:t>
            </w:r>
          </w:p>
        </w:tc>
        <w:tc>
          <w:tcPr>
            <w:tcW w:w="1126" w:type="dxa"/>
            <w:shd w:val="clear" w:color="auto" w:fill="8DB3E2" w:themeFill="text2" w:themeFillTint="66"/>
            <w:vAlign w:val="center"/>
          </w:tcPr>
          <w:p w:rsidR="002A47EB" w:rsidRPr="002E42CC" w:rsidRDefault="002A47EB" w:rsidP="004737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</w:t>
            </w:r>
            <w:r w:rsidRPr="002E42CC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8" w:type="dxa"/>
            <w:shd w:val="clear" w:color="auto" w:fill="8DB3E2" w:themeFill="text2" w:themeFillTint="66"/>
            <w:vAlign w:val="center"/>
          </w:tcPr>
          <w:p w:rsidR="002A47EB" w:rsidRPr="002E42CC" w:rsidRDefault="002A47EB" w:rsidP="004737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:rsidR="002A47EB" w:rsidRPr="002E42CC" w:rsidRDefault="002A47EB" w:rsidP="004737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</w:t>
            </w:r>
          </w:p>
        </w:tc>
        <w:tc>
          <w:tcPr>
            <w:tcW w:w="1369" w:type="dxa"/>
            <w:shd w:val="clear" w:color="auto" w:fill="8DB3E2" w:themeFill="text2" w:themeFillTint="66"/>
            <w:vAlign w:val="center"/>
          </w:tcPr>
          <w:p w:rsidR="002A47EB" w:rsidRPr="002E42CC" w:rsidRDefault="002A47EB" w:rsidP="004737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</w:t>
            </w:r>
            <w:r w:rsidRPr="002E42CC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473798" w:rsidTr="00473798">
        <w:tc>
          <w:tcPr>
            <w:tcW w:w="1879" w:type="dxa"/>
            <w:shd w:val="clear" w:color="auto" w:fill="8DB3E2" w:themeFill="text2" w:themeFillTint="66"/>
            <w:vAlign w:val="bottom"/>
          </w:tcPr>
          <w:p w:rsidR="00473798" w:rsidRPr="00726F2A" w:rsidRDefault="00473798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473798" w:rsidRDefault="00473798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94,645(100.0%)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73798" w:rsidRDefault="00473798" w:rsidP="00B253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53.1%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473798" w:rsidRDefault="00473798" w:rsidP="00B253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46.9%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473798" w:rsidRDefault="00473798" w:rsidP="00B253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60,399(1.9%)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473798" w:rsidRDefault="00473798" w:rsidP="00B253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56.3%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473798" w:rsidRDefault="00473798" w:rsidP="00B253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43.7%</w:t>
            </w:r>
          </w:p>
        </w:tc>
      </w:tr>
      <w:tr w:rsidR="00A14F93" w:rsidTr="00473798">
        <w:tc>
          <w:tcPr>
            <w:tcW w:w="1879" w:type="dxa"/>
            <w:shd w:val="clear" w:color="auto" w:fill="8DB3E2" w:themeFill="text2" w:themeFillTint="66"/>
            <w:vAlign w:val="bottom"/>
          </w:tcPr>
          <w:p w:rsidR="00A14F93" w:rsidRPr="00726F2A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Graduate Diploma </w:t>
            </w:r>
            <w:r w:rsidR="00CE264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and Graduate</w:t>
            </w: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Certificate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49,477(1.4%)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36.1%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63.9%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36,177(1.2%)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37.2%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62.8%</w:t>
            </w:r>
          </w:p>
        </w:tc>
      </w:tr>
      <w:tr w:rsidR="00A14F93" w:rsidTr="00473798">
        <w:tc>
          <w:tcPr>
            <w:tcW w:w="1879" w:type="dxa"/>
            <w:shd w:val="clear" w:color="auto" w:fill="8DB3E2" w:themeFill="text2" w:themeFillTint="66"/>
            <w:vAlign w:val="bottom"/>
          </w:tcPr>
          <w:p w:rsidR="00A14F93" w:rsidRPr="00726F2A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404,771(11.7%)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42.1%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57.9%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309,327(10.0%)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42.9%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57.1%</w:t>
            </w:r>
          </w:p>
        </w:tc>
      </w:tr>
      <w:tr w:rsidR="00A14F93" w:rsidTr="00473798">
        <w:tc>
          <w:tcPr>
            <w:tcW w:w="1879" w:type="dxa"/>
            <w:shd w:val="clear" w:color="auto" w:fill="8DB3E2" w:themeFill="text2" w:themeFillTint="66"/>
            <w:vAlign w:val="bottom"/>
          </w:tcPr>
          <w:p w:rsidR="00A14F93" w:rsidRPr="00726F2A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260,780(7.5%)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41.7%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58.3%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204,041(6.6%)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42.7%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57.3%</w:t>
            </w:r>
          </w:p>
        </w:tc>
      </w:tr>
      <w:tr w:rsidR="00A14F93" w:rsidTr="00473798">
        <w:tc>
          <w:tcPr>
            <w:tcW w:w="1879" w:type="dxa"/>
            <w:shd w:val="clear" w:color="auto" w:fill="8DB3E2" w:themeFill="text2" w:themeFillTint="66"/>
            <w:vAlign w:val="bottom"/>
          </w:tcPr>
          <w:p w:rsidR="00A14F93" w:rsidRPr="00726F2A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589,002(17.0%)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70.6%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471,771(15.2%)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74.5%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25.5%</w:t>
            </w:r>
          </w:p>
        </w:tc>
      </w:tr>
      <w:tr w:rsidR="00A14F93" w:rsidTr="00473798">
        <w:tc>
          <w:tcPr>
            <w:tcW w:w="1879" w:type="dxa"/>
            <w:shd w:val="clear" w:color="auto" w:fill="8DB3E2" w:themeFill="text2" w:themeFillTint="66"/>
            <w:vAlign w:val="bottom"/>
          </w:tcPr>
          <w:p w:rsidR="00A14F93" w:rsidRPr="00726F2A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12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614,440(17.8%)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45.9%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54.1%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538,796(17.4%)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45.8%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54.2%</w:t>
            </w:r>
          </w:p>
        </w:tc>
      </w:tr>
      <w:tr w:rsidR="00A14F93" w:rsidTr="00473798">
        <w:tc>
          <w:tcPr>
            <w:tcW w:w="1879" w:type="dxa"/>
            <w:shd w:val="clear" w:color="auto" w:fill="8DB3E2" w:themeFill="text2" w:themeFillTint="66"/>
            <w:vAlign w:val="bottom"/>
          </w:tcPr>
          <w:p w:rsidR="00A14F93" w:rsidRPr="00726F2A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 or below (includes Certificate I/II/nfd)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1,026,518(29.7%)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43.3%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56.7%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1,041,162(33.6%)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42.6%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57.4%</w:t>
            </w:r>
          </w:p>
        </w:tc>
      </w:tr>
      <w:tr w:rsidR="00A14F93" w:rsidTr="00473798">
        <w:tc>
          <w:tcPr>
            <w:tcW w:w="1879" w:type="dxa"/>
            <w:shd w:val="clear" w:color="auto" w:fill="8DB3E2" w:themeFill="text2" w:themeFillTint="66"/>
            <w:vAlign w:val="bottom"/>
          </w:tcPr>
          <w:p w:rsidR="00A14F93" w:rsidRPr="00726F2A" w:rsidRDefault="00A14F93" w:rsidP="0047379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3,456,874(100.0%)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49.1%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50.9%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3,097,997(100.0%)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49.1%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50.9%</w:t>
            </w:r>
          </w:p>
        </w:tc>
      </w:tr>
    </w:tbl>
    <w:p w:rsidR="002E7952" w:rsidRDefault="002E7952" w:rsidP="002E7952">
      <w:pPr>
        <w:rPr>
          <w:rFonts w:ascii="Arial" w:hAnsi="Arial" w:cs="Arial"/>
          <w:b/>
        </w:rPr>
      </w:pPr>
    </w:p>
    <w:p w:rsidR="002E7952" w:rsidRPr="004F6F82" w:rsidRDefault="002E7952" w:rsidP="002E7952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548DD4" w:themeColor="text2" w:themeTint="99"/>
        </w:rPr>
      </w:pP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In 2011, there was a significant increase in number of persons who reported completing a Postgraduate Degree</w:t>
      </w:r>
      <w:r w:rsidR="00C64D05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,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from 60,399 in 2006 to 94,645 in 2011 (a 56.7% increase).</w:t>
      </w:r>
    </w:p>
    <w:p w:rsidR="002E7952" w:rsidRPr="004F6F82" w:rsidRDefault="002E7952" w:rsidP="002E7952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548DD4" w:themeColor="text2" w:themeTint="99"/>
        </w:rPr>
      </w:pP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There has also been </w:t>
      </w:r>
      <w:r w:rsidR="00CE264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a 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significant increase in </w:t>
      </w:r>
      <w:r w:rsidR="00CE264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the 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number of 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persons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who reported completing a Graduate Diploma or 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Graduate 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Certificate as their highest level of education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,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from 36,177 in 2006 to 49,477 in 2011 (an increase of 36.8%).</w:t>
      </w:r>
    </w:p>
    <w:p w:rsidR="002E7952" w:rsidRPr="004F6F82" w:rsidRDefault="002E7952" w:rsidP="002E7952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548DD4" w:themeColor="text2" w:themeTint="99"/>
        </w:rPr>
      </w:pP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There was significant growth in 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persons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who reported completing a Bachelor Degree as their highest level of education, from 309,327 in 2006 to 404,771 in 2011 (an increase of 30.9%).</w:t>
      </w:r>
    </w:p>
    <w:p w:rsidR="002E7952" w:rsidRPr="004F6F82" w:rsidRDefault="002E7952" w:rsidP="002E7952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548DD4" w:themeColor="text2" w:themeTint="99"/>
        </w:rPr>
      </w:pP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There has been a decline in 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the 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number of those who reported Year 11 and below 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(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including Certificate level I/II) as their highest level of education, from 1,041,162 in 2006 to 1,026,518 in 2011.</w:t>
      </w:r>
    </w:p>
    <w:p w:rsidR="002E7952" w:rsidRPr="004F6F82" w:rsidRDefault="002E7952" w:rsidP="002E7952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548DD4" w:themeColor="text2" w:themeTint="99"/>
        </w:rPr>
      </w:pP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A higher proportion of those who reported their highest level of education as Graduate Diploma or 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Graduate 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Certificate, Bachelor Degree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,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and Advance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d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Diploma and Diploma were females (63.9%, 57.9% and 58.3% respectively)..</w:t>
      </w:r>
    </w:p>
    <w:p w:rsidR="002E7952" w:rsidRPr="004F6F82" w:rsidRDefault="002E7952" w:rsidP="002E7952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548DD4" w:themeColor="text2" w:themeTint="99"/>
        </w:rPr>
      </w:pP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Of those who reported completing Certificate III/IV as their highest level of education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,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a higher proportion were males (70.6%). </w:t>
      </w:r>
    </w:p>
    <w:p w:rsidR="00726F2A" w:rsidRDefault="00726F2A" w:rsidP="00E640DC">
      <w:pPr>
        <w:rPr>
          <w:rFonts w:ascii="Arial" w:hAnsi="Arial" w:cs="Arial"/>
          <w:b/>
          <w:color w:val="000000" w:themeColor="text1"/>
        </w:rPr>
      </w:pPr>
    </w:p>
    <w:p w:rsidR="00C23A03" w:rsidRDefault="00CE1624" w:rsidP="00C23A03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C23A03" w:rsidRDefault="00C23A03" w:rsidP="00C23A03">
      <w:pPr>
        <w:jc w:val="center"/>
        <w:rPr>
          <w:rFonts w:ascii="Arial" w:hAnsi="Arial" w:cs="Arial"/>
          <w:b/>
          <w:color w:val="000000" w:themeColor="text1"/>
        </w:rPr>
      </w:pPr>
    </w:p>
    <w:p w:rsidR="00C23A03" w:rsidRDefault="00C23A03" w:rsidP="00C23A03">
      <w:pPr>
        <w:jc w:val="center"/>
        <w:rPr>
          <w:rFonts w:ascii="Arial" w:hAnsi="Arial" w:cs="Arial"/>
          <w:b/>
          <w:color w:val="000000" w:themeColor="text1"/>
        </w:rPr>
      </w:pPr>
    </w:p>
    <w:p w:rsidR="00C23A03" w:rsidRDefault="00C23A03" w:rsidP="00C23A03">
      <w:pPr>
        <w:jc w:val="center"/>
        <w:rPr>
          <w:rFonts w:ascii="Arial" w:hAnsi="Arial" w:cs="Arial"/>
          <w:b/>
          <w:color w:val="000000" w:themeColor="text1"/>
        </w:rPr>
      </w:pPr>
    </w:p>
    <w:p w:rsidR="00C23A03" w:rsidRDefault="00C23A03" w:rsidP="00C23A03">
      <w:pPr>
        <w:jc w:val="center"/>
        <w:rPr>
          <w:rFonts w:ascii="Arial" w:hAnsi="Arial" w:cs="Arial"/>
          <w:b/>
          <w:color w:val="000000" w:themeColor="text1"/>
        </w:rPr>
      </w:pPr>
    </w:p>
    <w:p w:rsidR="00CE1624" w:rsidRDefault="00A14F93" w:rsidP="00C23A0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Queensland</w:t>
      </w:r>
    </w:p>
    <w:p w:rsidR="00CE1624" w:rsidRPr="00BF1EC3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7431A" w:rsidRPr="00433831" w:rsidRDefault="00577B41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0F35CD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Fields of Study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</w:t>
      </w:r>
      <w:r w:rsidR="00DE3C33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all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persons aged 15 years and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over who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stated a completed qualification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45"/>
        <w:gridCol w:w="1181"/>
        <w:gridCol w:w="1843"/>
        <w:gridCol w:w="993"/>
        <w:gridCol w:w="1275"/>
      </w:tblGrid>
      <w:tr w:rsidR="0012464C" w:rsidRPr="008B58A5" w:rsidTr="00E640DC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2464C" w:rsidRDefault="0012464C" w:rsidP="009A0023">
            <w:pPr>
              <w:rPr>
                <w:rFonts w:ascii="Arial" w:hAnsi="Arial" w:cs="Arial"/>
                <w:b/>
              </w:rPr>
            </w:pPr>
          </w:p>
        </w:tc>
        <w:tc>
          <w:tcPr>
            <w:tcW w:w="3968" w:type="dxa"/>
            <w:gridSpan w:val="3"/>
            <w:shd w:val="clear" w:color="auto" w:fill="548DD4" w:themeFill="text2" w:themeFillTint="99"/>
          </w:tcPr>
          <w:p w:rsidR="0012464C" w:rsidRPr="002E42CC" w:rsidRDefault="0012464C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1" w:type="dxa"/>
            <w:gridSpan w:val="3"/>
            <w:shd w:val="clear" w:color="auto" w:fill="548DD4" w:themeFill="text2" w:themeFillTint="99"/>
          </w:tcPr>
          <w:p w:rsidR="0012464C" w:rsidRDefault="0012464C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12464C" w:rsidRPr="008B58A5" w:rsidTr="00473798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12464C" w:rsidRPr="002E42CC" w:rsidRDefault="0012464C" w:rsidP="009A00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12464C" w:rsidRPr="002E42CC" w:rsidRDefault="0012464C" w:rsidP="004737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45" w:type="dxa"/>
            <w:shd w:val="clear" w:color="auto" w:fill="8DB3E2" w:themeFill="text2" w:themeFillTint="66"/>
            <w:vAlign w:val="center"/>
          </w:tcPr>
          <w:p w:rsidR="0012464C" w:rsidRPr="002E42CC" w:rsidRDefault="0012464C" w:rsidP="0047379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81" w:type="dxa"/>
            <w:shd w:val="clear" w:color="auto" w:fill="8DB3E2" w:themeFill="text2" w:themeFillTint="66"/>
            <w:vAlign w:val="center"/>
          </w:tcPr>
          <w:p w:rsidR="0012464C" w:rsidRPr="002E42CC" w:rsidRDefault="0012464C" w:rsidP="0047379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12464C" w:rsidRPr="002E42CC" w:rsidRDefault="0012464C" w:rsidP="004737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12464C" w:rsidRPr="002E42CC" w:rsidRDefault="0012464C" w:rsidP="0047379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12464C" w:rsidRPr="002E42CC" w:rsidRDefault="0012464C" w:rsidP="0047379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A14F93" w:rsidRPr="008B58A5" w:rsidTr="00473798">
        <w:tc>
          <w:tcPr>
            <w:tcW w:w="2411" w:type="dxa"/>
            <w:shd w:val="clear" w:color="auto" w:fill="8DB3E2" w:themeFill="text2" w:themeFillTint="66"/>
            <w:vAlign w:val="bottom"/>
          </w:tcPr>
          <w:p w:rsidR="00A14F93" w:rsidRDefault="00A14F93" w:rsidP="004737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Engineering and Related Technologies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314,630(16.8%)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94.4%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5.6%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269,402(17.3%)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5.2%</w:t>
            </w:r>
          </w:p>
        </w:tc>
      </w:tr>
      <w:tr w:rsidR="00A14F93" w:rsidRPr="008B58A5" w:rsidTr="00473798">
        <w:tc>
          <w:tcPr>
            <w:tcW w:w="2411" w:type="dxa"/>
            <w:shd w:val="clear" w:color="auto" w:fill="8DB3E2" w:themeFill="text2" w:themeFillTint="66"/>
            <w:vAlign w:val="bottom"/>
          </w:tcPr>
          <w:p w:rsidR="00A14F93" w:rsidRDefault="00A14F93" w:rsidP="004737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Management and Commerce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310,801(16.6%)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37.4%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62.6%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228,738(14.7%)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62.1%</w:t>
            </w:r>
          </w:p>
        </w:tc>
      </w:tr>
      <w:tr w:rsidR="00A14F93" w:rsidRPr="008B58A5" w:rsidTr="00473798">
        <w:tc>
          <w:tcPr>
            <w:tcW w:w="2411" w:type="dxa"/>
            <w:shd w:val="clear" w:color="auto" w:fill="8DB3E2" w:themeFill="text2" w:themeFillTint="66"/>
            <w:vAlign w:val="bottom"/>
          </w:tcPr>
          <w:p w:rsidR="00A14F93" w:rsidRDefault="00A14F93" w:rsidP="004737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Society and Culture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180,558(9.6%)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68.9%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A14F93" w:rsidRPr="009D2755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128,353(8.2%)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66.9%</w:t>
            </w:r>
          </w:p>
        </w:tc>
      </w:tr>
      <w:tr w:rsidR="00A14F93" w:rsidRPr="008B58A5" w:rsidTr="00473798">
        <w:tc>
          <w:tcPr>
            <w:tcW w:w="2411" w:type="dxa"/>
            <w:shd w:val="clear" w:color="auto" w:fill="8DB3E2" w:themeFill="text2" w:themeFillTint="66"/>
            <w:vAlign w:val="bottom"/>
          </w:tcPr>
          <w:p w:rsidR="00A14F93" w:rsidRDefault="00A14F93" w:rsidP="004737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Health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173,990(9.3%)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22.9%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77.1%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A14F93" w:rsidRPr="009D2755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131,993(8.5%)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77.7%</w:t>
            </w:r>
          </w:p>
        </w:tc>
      </w:tr>
      <w:tr w:rsidR="00A14F93" w:rsidRPr="008B58A5" w:rsidTr="00473798">
        <w:tc>
          <w:tcPr>
            <w:tcW w:w="2411" w:type="dxa"/>
            <w:shd w:val="clear" w:color="auto" w:fill="8DB3E2" w:themeFill="text2" w:themeFillTint="66"/>
            <w:vAlign w:val="bottom"/>
          </w:tcPr>
          <w:p w:rsidR="00A14F93" w:rsidRDefault="00A14F93" w:rsidP="004737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Education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139,977(7.5%)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23.5%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76.5%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A14F93" w:rsidRPr="009D2755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119,072(7.6%)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75.4%</w:t>
            </w:r>
          </w:p>
        </w:tc>
      </w:tr>
      <w:tr w:rsidR="00A14F93" w:rsidRPr="008B58A5" w:rsidTr="00473798">
        <w:tc>
          <w:tcPr>
            <w:tcW w:w="2411" w:type="dxa"/>
            <w:shd w:val="clear" w:color="auto" w:fill="8DB3E2" w:themeFill="text2" w:themeFillTint="66"/>
            <w:vAlign w:val="bottom"/>
          </w:tcPr>
          <w:p w:rsidR="00A14F93" w:rsidRPr="004B1834" w:rsidRDefault="00A14F93" w:rsidP="004737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1834">
              <w:rPr>
                <w:rFonts w:ascii="Arial" w:hAnsi="Arial" w:cs="Arial"/>
                <w:color w:val="000000"/>
                <w:sz w:val="18"/>
                <w:szCs w:val="18"/>
              </w:rPr>
              <w:t>Total persons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A14F93" w:rsidRPr="007350D6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1,875,324(100.0%)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52.7%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47.3%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A14F93" w:rsidRPr="009D2755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1,560,869(100.0%)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14F93" w:rsidRDefault="00A14F93" w:rsidP="00A14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46.1%</w:t>
            </w:r>
          </w:p>
        </w:tc>
      </w:tr>
    </w:tbl>
    <w:p w:rsidR="002E7952" w:rsidRDefault="002E7952" w:rsidP="002E7952">
      <w:pPr>
        <w:rPr>
          <w:rFonts w:ascii="Arial" w:hAnsi="Arial" w:cs="Arial"/>
          <w:b/>
        </w:rPr>
      </w:pPr>
    </w:p>
    <w:p w:rsidR="002E7952" w:rsidRPr="004F6F82" w:rsidRDefault="002E7952" w:rsidP="002E7952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548DD4" w:themeColor="text2" w:themeTint="99"/>
        </w:rPr>
      </w:pP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In 2011 Engineering and Related Technologies (16.8%) and Management and Commerce (16.6%) were the two most common fields of study completed reported by persons aged 15 years and over. These fields were 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also 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reported as the most common fields of study in the 2006 Census.</w:t>
      </w:r>
    </w:p>
    <w:p w:rsidR="002E7952" w:rsidRPr="004F6F82" w:rsidRDefault="002E7952" w:rsidP="002E7952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548DD4" w:themeColor="text2" w:themeTint="99"/>
        </w:rPr>
      </w:pP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Between the 20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06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and 20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11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Census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es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there has been a decline in the proportion of those who reported Engineering and Related Technologies (0.5 percentage point) but a proportionate increase in those who reported Management and Commerce (1.9 percentage point).</w:t>
      </w:r>
      <w:r w:rsidR="000F35CD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T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he number of those reporting these fields of study completed has increased between 2006 and 2011.</w:t>
      </w:r>
    </w:p>
    <w:p w:rsidR="002E7952" w:rsidRPr="004F6F82" w:rsidRDefault="002E7952" w:rsidP="002E7952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548DD4" w:themeColor="text2" w:themeTint="99"/>
        </w:rPr>
      </w:pP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Of those who reported Management and Commerce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,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and Society and Culture as their field of study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,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a higher proportion 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were 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females (62.6% and 68.9% respectively). Of those who reported Engineering and Related Technologies as their field of study a significantly higher proportion 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were 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males (94.4%).</w:t>
      </w:r>
    </w:p>
    <w:p w:rsidR="002E7952" w:rsidRPr="004F6F82" w:rsidRDefault="002E7952" w:rsidP="002E7952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548DD4" w:themeColor="text2" w:themeTint="99"/>
        </w:rPr>
      </w:pP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Over three quarters of those who reported Health and Education as 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their 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fields of study were females (77.1% and 76.5% respectively). </w:t>
      </w:r>
    </w:p>
    <w:p w:rsidR="00233455" w:rsidRDefault="00233455"/>
    <w:p w:rsidR="00CE1624" w:rsidRPr="00726F2A" w:rsidRDefault="00CE1624" w:rsidP="002E7952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2E7952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2E7952">
      <w:pPr>
        <w:pStyle w:val="ListParagraph"/>
        <w:rPr>
          <w:rFonts w:ascii="Arial" w:hAnsi="Arial" w:cs="Arial"/>
          <w:b/>
          <w:color w:val="000000" w:themeColor="text1"/>
        </w:rPr>
      </w:pPr>
    </w:p>
    <w:p w:rsidR="00E640DC" w:rsidRDefault="00E640DC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A14F93" w:rsidP="00E640D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Queensland</w:t>
      </w:r>
    </w:p>
    <w:p w:rsidR="00E640DC" w:rsidRPr="00BF1EC3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5D9" w:rsidRPr="00577B41" w:rsidRDefault="00726F2A" w:rsidP="00577B41">
      <w:pPr>
        <w:jc w:val="center"/>
        <w:rPr>
          <w:rFonts w:ascii="Arial" w:hAnsi="Arial" w:cs="Arial"/>
          <w:b/>
          <w:sz w:val="28"/>
          <w:szCs w:val="28"/>
        </w:rPr>
      </w:pP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>T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op </w:t>
      </w:r>
      <w:r w:rsidR="00C23A03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M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ethods of </w:t>
      </w:r>
      <w:r w:rsidR="00C23A03">
        <w:rPr>
          <w:rFonts w:ascii="Arial" w:hAnsi="Arial" w:cs="Arial"/>
          <w:b/>
          <w:color w:val="000000" w:themeColor="text1"/>
          <w:sz w:val="28"/>
          <w:szCs w:val="28"/>
        </w:rPr>
        <w:t>T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ravel to </w:t>
      </w:r>
      <w:r w:rsidR="00C23A03">
        <w:rPr>
          <w:rFonts w:ascii="Arial" w:hAnsi="Arial" w:cs="Arial"/>
          <w:b/>
          <w:color w:val="000000" w:themeColor="text1"/>
          <w:sz w:val="28"/>
          <w:szCs w:val="28"/>
        </w:rPr>
        <w:t>W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>ork</w:t>
      </w:r>
      <w:r w:rsidR="00DE3C33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DE3C33"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(employed persons </w:t>
      </w:r>
      <w:r w:rsidR="00EF2740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br/>
      </w:r>
      <w:r w:rsidR="00DE3C33"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aged 15 years and over)</w:t>
      </w:r>
    </w:p>
    <w:tbl>
      <w:tblPr>
        <w:tblStyle w:val="TableGrid"/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3402"/>
        <w:gridCol w:w="2835"/>
      </w:tblGrid>
      <w:tr w:rsidR="002A47EB" w:rsidRPr="008B58A5" w:rsidTr="001C2998">
        <w:tc>
          <w:tcPr>
            <w:tcW w:w="255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A47EB" w:rsidRPr="00DE547A" w:rsidRDefault="002A47EB" w:rsidP="00DE547A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548DD4" w:themeFill="text2" w:themeFillTint="99"/>
          </w:tcPr>
          <w:p w:rsidR="002A47EB" w:rsidRPr="002E42CC" w:rsidRDefault="002A47EB" w:rsidP="00D053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835" w:type="dxa"/>
            <w:shd w:val="clear" w:color="auto" w:fill="548DD4" w:themeFill="text2" w:themeFillTint="99"/>
          </w:tcPr>
          <w:p w:rsidR="002A47EB" w:rsidRPr="002E42CC" w:rsidRDefault="002A47EB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A47EB" w:rsidRPr="008B58A5" w:rsidTr="001C2998">
        <w:tc>
          <w:tcPr>
            <w:tcW w:w="255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Pr="00DE547A" w:rsidRDefault="002A47EB" w:rsidP="00726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8DB3E2" w:themeFill="text2" w:themeFillTint="66"/>
            <w:vAlign w:val="center"/>
          </w:tcPr>
          <w:p w:rsidR="002A47EB" w:rsidRPr="002E42CC" w:rsidRDefault="002A47EB" w:rsidP="004737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Persons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2A47EB" w:rsidRPr="002E42CC" w:rsidRDefault="002A47EB" w:rsidP="004737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Persons</w:t>
            </w:r>
          </w:p>
        </w:tc>
      </w:tr>
      <w:tr w:rsidR="00A14F93" w:rsidRPr="008B58A5" w:rsidTr="001C2998">
        <w:tc>
          <w:tcPr>
            <w:tcW w:w="2551" w:type="dxa"/>
            <w:shd w:val="clear" w:color="auto" w:fill="8DB3E2" w:themeFill="text2" w:themeFillTint="66"/>
            <w:vAlign w:val="bottom"/>
          </w:tcPr>
          <w:p w:rsidR="00A14F93" w:rsidRPr="00473798" w:rsidRDefault="00A14F93" w:rsidP="00473798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Car, as driver</w:t>
            </w:r>
          </w:p>
        </w:tc>
        <w:tc>
          <w:tcPr>
            <w:tcW w:w="3402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1,248,541(61.2%)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1,090,011(59.7%)</w:t>
            </w:r>
          </w:p>
        </w:tc>
      </w:tr>
      <w:tr w:rsidR="00A14F93" w:rsidRPr="008B58A5" w:rsidTr="001C2998">
        <w:tc>
          <w:tcPr>
            <w:tcW w:w="2551" w:type="dxa"/>
            <w:shd w:val="clear" w:color="auto" w:fill="8DB3E2" w:themeFill="text2" w:themeFillTint="66"/>
            <w:vAlign w:val="bottom"/>
          </w:tcPr>
          <w:p w:rsidR="00A14F93" w:rsidRPr="00473798" w:rsidRDefault="00A14F93" w:rsidP="00473798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Car, as passenger</w:t>
            </w:r>
          </w:p>
        </w:tc>
        <w:tc>
          <w:tcPr>
            <w:tcW w:w="3402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125,270(6.1%)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123,256(6.8%)</w:t>
            </w:r>
          </w:p>
        </w:tc>
      </w:tr>
      <w:tr w:rsidR="00A14F93" w:rsidRPr="008B58A5" w:rsidTr="001C2998">
        <w:tc>
          <w:tcPr>
            <w:tcW w:w="2551" w:type="dxa"/>
            <w:shd w:val="clear" w:color="auto" w:fill="8DB3E2" w:themeFill="text2" w:themeFillTint="66"/>
            <w:vAlign w:val="bottom"/>
          </w:tcPr>
          <w:p w:rsidR="00A14F93" w:rsidRPr="00473798" w:rsidRDefault="00A14F93" w:rsidP="00473798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Walked only</w:t>
            </w:r>
          </w:p>
        </w:tc>
        <w:tc>
          <w:tcPr>
            <w:tcW w:w="3402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75,561(3.7%)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72,983(4.0%)</w:t>
            </w:r>
          </w:p>
        </w:tc>
      </w:tr>
      <w:tr w:rsidR="00A14F93" w:rsidRPr="008B58A5" w:rsidTr="001C2998">
        <w:tc>
          <w:tcPr>
            <w:tcW w:w="2551" w:type="dxa"/>
            <w:shd w:val="clear" w:color="auto" w:fill="8DB3E2" w:themeFill="text2" w:themeFillTint="66"/>
            <w:vAlign w:val="bottom"/>
          </w:tcPr>
          <w:p w:rsidR="00A14F93" w:rsidRPr="00473798" w:rsidRDefault="00A14F93" w:rsidP="00473798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Bus</w:t>
            </w:r>
          </w:p>
        </w:tc>
        <w:tc>
          <w:tcPr>
            <w:tcW w:w="3402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67,192(3.3%)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52,270(2.9%)</w:t>
            </w:r>
          </w:p>
        </w:tc>
      </w:tr>
      <w:tr w:rsidR="00A14F93" w:rsidRPr="008B58A5" w:rsidTr="001C2998">
        <w:tc>
          <w:tcPr>
            <w:tcW w:w="2551" w:type="dxa"/>
            <w:shd w:val="clear" w:color="auto" w:fill="8DB3E2" w:themeFill="text2" w:themeFillTint="66"/>
            <w:vAlign w:val="bottom"/>
          </w:tcPr>
          <w:p w:rsidR="00A14F93" w:rsidRPr="00473798" w:rsidRDefault="00A14F93" w:rsidP="00473798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Train</w:t>
            </w:r>
          </w:p>
        </w:tc>
        <w:tc>
          <w:tcPr>
            <w:tcW w:w="3402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42,800(2.1%)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36,036(2.0%)</w:t>
            </w:r>
          </w:p>
        </w:tc>
      </w:tr>
      <w:tr w:rsidR="00A14F93" w:rsidRPr="008B58A5" w:rsidTr="001C2998">
        <w:tc>
          <w:tcPr>
            <w:tcW w:w="2551" w:type="dxa"/>
            <w:shd w:val="clear" w:color="auto" w:fill="8DB3E2" w:themeFill="text2" w:themeFillTint="66"/>
            <w:vAlign w:val="bottom"/>
          </w:tcPr>
          <w:p w:rsidR="00A14F93" w:rsidRPr="00473798" w:rsidRDefault="00A14F93" w:rsidP="0047379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3798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3402" w:type="dxa"/>
            <w:shd w:val="clear" w:color="auto" w:fill="C6D9F1" w:themeFill="text2" w:themeFillTint="33"/>
            <w:vAlign w:val="center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2,039,275(100.0%)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A14F93" w:rsidRPr="00473798" w:rsidRDefault="00A14F93" w:rsidP="00A14F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1,824,999(100.0%)</w:t>
            </w:r>
          </w:p>
        </w:tc>
      </w:tr>
    </w:tbl>
    <w:p w:rsidR="002E7952" w:rsidRDefault="002E7952" w:rsidP="002E7952">
      <w:pPr>
        <w:rPr>
          <w:rFonts w:ascii="Arial" w:hAnsi="Arial" w:cs="Arial"/>
          <w:b/>
        </w:rPr>
      </w:pPr>
    </w:p>
    <w:p w:rsidR="002E7952" w:rsidRPr="004F6F82" w:rsidRDefault="00C23A03" w:rsidP="002E7952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548DD4" w:themeColor="text2" w:themeTint="99"/>
          <w:lang w:eastAsia="en-AU"/>
        </w:rPr>
      </w:pP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Transport by c</w:t>
      </w:r>
      <w:r w:rsidR="002E7952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ar continues to be the most commonly reported method of travel to work. Over two thirds (67.3%) of employed persons 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aged 15 years and over </w:t>
      </w:r>
      <w:r w:rsidR="002E7952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reported that they travelled to work by 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c</w:t>
      </w:r>
      <w:r w:rsidR="002E7952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ar (either as driver or a passenger) on 9 August 2011.</w:t>
      </w:r>
    </w:p>
    <w:p w:rsidR="002E7952" w:rsidRPr="004F6F82" w:rsidRDefault="002E7952" w:rsidP="002E7952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548DD4" w:themeColor="text2" w:themeTint="99"/>
          <w:lang w:eastAsia="en-AU"/>
        </w:rPr>
      </w:pP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The number of 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employed persons aged 15 years and over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who 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w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alked to work has increased from 72,983 in 2006 to 75,561 in 2011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;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however</w:t>
      </w:r>
      <w:r w:rsidR="00C23A03"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,</w:t>
      </w:r>
      <w:r w:rsidRPr="004F6F82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the proportion of persons who walked to work has declined from 4.0% in 2006 to 3.7% in 2011 (reflecting a slower rate of growth compared to other forms of travel).</w:t>
      </w:r>
    </w:p>
    <w:p w:rsidR="00EC5711" w:rsidRDefault="00EC5711" w:rsidP="00EC5711">
      <w:pPr>
        <w:rPr>
          <w:rFonts w:ascii="Arial" w:eastAsia="Times New Roman" w:hAnsi="Arial" w:cs="Arial"/>
          <w:color w:val="000000"/>
          <w:lang w:eastAsia="en-AU"/>
        </w:rPr>
      </w:pPr>
    </w:p>
    <w:p w:rsidR="00CE1624" w:rsidRPr="00726F2A" w:rsidRDefault="00CE1624" w:rsidP="002E7952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2E7952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2E7952">
      <w:pPr>
        <w:pStyle w:val="ListParagraph"/>
        <w:rPr>
          <w:rFonts w:ascii="Arial" w:hAnsi="Arial" w:cs="Arial"/>
          <w:b/>
          <w:color w:val="000000" w:themeColor="text1"/>
        </w:rPr>
      </w:pPr>
    </w:p>
    <w:p w:rsidR="00726F2A" w:rsidRDefault="00726F2A" w:rsidP="00936274">
      <w:pPr>
        <w:jc w:val="center"/>
        <w:rPr>
          <w:rFonts w:ascii="Arial" w:eastAsia="Times New Roman" w:hAnsi="Arial" w:cs="Arial"/>
          <w:b/>
          <w:color w:val="000000"/>
          <w:lang w:eastAsia="en-AU"/>
        </w:rPr>
      </w:pPr>
    </w:p>
    <w:p w:rsidR="00CE1624" w:rsidRDefault="00CE1624">
      <w:p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eastAsia="Times New Roman" w:hAnsi="Arial" w:cs="Arial"/>
          <w:b/>
          <w:color w:val="000000"/>
          <w:lang w:eastAsia="en-AU"/>
        </w:rPr>
        <w:br w:type="page"/>
      </w: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A14F93" w:rsidP="00CE162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Queensland</w:t>
      </w:r>
    </w:p>
    <w:p w:rsidR="00CE1624" w:rsidRPr="00BF1EC3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77B41" w:rsidRPr="00577B41" w:rsidRDefault="005830EF" w:rsidP="00577B41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Place of Usual Residence one</w:t>
      </w:r>
      <w:r w:rsidR="00577B41"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year ago (all persons who moved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, excluding persons aged under one</w:t>
      </w:r>
      <w:r w:rsidR="00577B41"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year)</w:t>
      </w:r>
    </w:p>
    <w:tbl>
      <w:tblPr>
        <w:tblStyle w:val="TableGrid"/>
        <w:tblW w:w="8930" w:type="dxa"/>
        <w:tblInd w:w="250" w:type="dxa"/>
        <w:tblLook w:val="04A0" w:firstRow="1" w:lastRow="0" w:firstColumn="1" w:lastColumn="0" w:noHBand="0" w:noVBand="1"/>
      </w:tblPr>
      <w:tblGrid>
        <w:gridCol w:w="2693"/>
        <w:gridCol w:w="3261"/>
        <w:gridCol w:w="2976"/>
      </w:tblGrid>
      <w:tr w:rsidR="002A47EB" w:rsidTr="00473798">
        <w:trPr>
          <w:trHeight w:val="340"/>
        </w:trPr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Default="002A47EB" w:rsidP="00742EC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  <w:tc>
          <w:tcPr>
            <w:tcW w:w="3261" w:type="dxa"/>
            <w:shd w:val="clear" w:color="auto" w:fill="548DD4" w:themeFill="text2" w:themeFillTint="99"/>
            <w:vAlign w:val="center"/>
          </w:tcPr>
          <w:p w:rsidR="002A47EB" w:rsidRPr="00140DF9" w:rsidRDefault="002A47EB" w:rsidP="00473798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2011</w:t>
            </w:r>
          </w:p>
        </w:tc>
        <w:tc>
          <w:tcPr>
            <w:tcW w:w="2976" w:type="dxa"/>
            <w:shd w:val="clear" w:color="auto" w:fill="548DD4" w:themeFill="text2" w:themeFillTint="99"/>
            <w:vAlign w:val="center"/>
          </w:tcPr>
          <w:p w:rsidR="002A47EB" w:rsidRPr="00140DF9" w:rsidRDefault="002A47EB" w:rsidP="00473798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2006</w:t>
            </w:r>
          </w:p>
        </w:tc>
      </w:tr>
      <w:tr w:rsidR="00A14F93" w:rsidTr="00473798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A14F93" w:rsidRPr="00473798" w:rsidRDefault="00A14F93" w:rsidP="00473798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616,280 (80.6%)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610,133 (80.4%)</w:t>
            </w:r>
          </w:p>
        </w:tc>
      </w:tr>
      <w:tr w:rsidR="00A14F93" w:rsidTr="00473798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A14F93" w:rsidRPr="00473798" w:rsidRDefault="00A14F93" w:rsidP="00473798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75,240 (9.8%)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83,007 (10.9%)</w:t>
            </w:r>
          </w:p>
        </w:tc>
      </w:tr>
      <w:tr w:rsidR="00A14F93" w:rsidTr="00473798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A14F93" w:rsidRPr="00473798" w:rsidRDefault="00A14F93" w:rsidP="00473798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63,185 (8.3%)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57,581 (7.6%)</w:t>
            </w:r>
          </w:p>
        </w:tc>
      </w:tr>
      <w:tr w:rsidR="00A14F93" w:rsidTr="00473798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A14F93" w:rsidRPr="00473798" w:rsidRDefault="00A14F93" w:rsidP="00473798">
            <w:pPr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764,692 (100.0%)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A14F93" w:rsidRPr="00473798" w:rsidRDefault="00A14F93" w:rsidP="004737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3798">
              <w:rPr>
                <w:rFonts w:ascii="Arial" w:hAnsi="Arial" w:cs="Arial"/>
                <w:sz w:val="18"/>
                <w:szCs w:val="18"/>
              </w:rPr>
              <w:t>759,132 (100.0%)</w:t>
            </w:r>
          </w:p>
        </w:tc>
      </w:tr>
    </w:tbl>
    <w:p w:rsidR="002E7952" w:rsidRDefault="002E7952" w:rsidP="002E7952">
      <w:pPr>
        <w:rPr>
          <w:rFonts w:ascii="Arial" w:hAnsi="Arial" w:cs="Arial"/>
          <w:b/>
        </w:rPr>
      </w:pPr>
    </w:p>
    <w:p w:rsidR="00D61DE3" w:rsidRPr="00302175" w:rsidRDefault="00D61DE3" w:rsidP="00D61DE3">
      <w:pPr>
        <w:pStyle w:val="ListParagraph"/>
        <w:numPr>
          <w:ilvl w:val="0"/>
          <w:numId w:val="3"/>
        </w:numPr>
        <w:ind w:left="53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the Queensland residents who moved in the year prior to the 2011 Census, most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moved within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State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Pr="00302175">
        <w:rPr>
          <w:rFonts w:ascii="Arial" w:hAnsi="Arial" w:cs="Arial"/>
          <w:b/>
          <w:bCs/>
          <w:color w:val="4181C0"/>
          <w:sz w:val="18"/>
          <w:szCs w:val="18"/>
        </w:rPr>
        <w:t xml:space="preserve">(80.6%). </w:t>
      </w:r>
    </w:p>
    <w:p w:rsidR="00D61DE3" w:rsidRPr="00D61DE3" w:rsidRDefault="00D61DE3" w:rsidP="001C2998">
      <w:pPr>
        <w:pStyle w:val="ListParagraph"/>
        <w:numPr>
          <w:ilvl w:val="0"/>
          <w:numId w:val="3"/>
        </w:numPr>
        <w:ind w:left="530"/>
        <w:rPr>
          <w:rFonts w:ascii="Arial" w:hAnsi="Arial" w:cs="Arial"/>
          <w:b/>
          <w:bCs/>
          <w:color w:val="4181C0"/>
          <w:sz w:val="18"/>
          <w:szCs w:val="18"/>
        </w:rPr>
      </w:pPr>
      <w:r w:rsidRPr="00D61DE3">
        <w:rPr>
          <w:rFonts w:ascii="Arial" w:hAnsi="Arial" w:cs="Arial"/>
          <w:b/>
          <w:bCs/>
          <w:color w:val="4181C0"/>
          <w:sz w:val="18"/>
          <w:szCs w:val="18"/>
        </w:rPr>
        <w:t xml:space="preserve">There were 63,185 (8.3%) of persons who had moved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Queensland </w:t>
      </w:r>
      <w:r w:rsidRPr="00D61DE3">
        <w:rPr>
          <w:rFonts w:ascii="Arial" w:hAnsi="Arial" w:cs="Arial"/>
          <w:b/>
          <w:bCs/>
          <w:color w:val="4181C0"/>
          <w:sz w:val="18"/>
          <w:szCs w:val="18"/>
        </w:rPr>
        <w:t xml:space="preserve">from overseas in the year prior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 w:rsidRPr="00D61DE3">
        <w:rPr>
          <w:rFonts w:ascii="Arial" w:hAnsi="Arial" w:cs="Arial"/>
          <w:b/>
          <w:bCs/>
          <w:color w:val="4181C0"/>
          <w:sz w:val="18"/>
          <w:szCs w:val="18"/>
        </w:rPr>
        <w:t>2011 Census.</w:t>
      </w:r>
    </w:p>
    <w:p w:rsidR="00C6641B" w:rsidRDefault="00C6641B" w:rsidP="002A47EB">
      <w:pPr>
        <w:jc w:val="center"/>
        <w:rPr>
          <w:rFonts w:ascii="Arial" w:eastAsia="Times New Roman" w:hAnsi="Arial" w:cs="Arial"/>
          <w:b/>
          <w:color w:val="000000"/>
          <w:lang w:eastAsia="en-AU"/>
        </w:rPr>
      </w:pPr>
    </w:p>
    <w:p w:rsidR="00577B41" w:rsidRPr="00577B41" w:rsidRDefault="00FC35D1" w:rsidP="00577B41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Place of Usual R</w:t>
      </w:r>
      <w:r w:rsidR="00577B41"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esidence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five</w:t>
      </w:r>
      <w:r w:rsidR="00577B41"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years ago (all persons who moved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, excluding persons aged under five</w:t>
      </w:r>
      <w:r w:rsidR="00577B41"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years)</w:t>
      </w:r>
    </w:p>
    <w:tbl>
      <w:tblPr>
        <w:tblStyle w:val="TableGrid"/>
        <w:tblW w:w="8930" w:type="dxa"/>
        <w:tblInd w:w="250" w:type="dxa"/>
        <w:tblLook w:val="04A0" w:firstRow="1" w:lastRow="0" w:firstColumn="1" w:lastColumn="0" w:noHBand="0" w:noVBand="1"/>
      </w:tblPr>
      <w:tblGrid>
        <w:gridCol w:w="2693"/>
        <w:gridCol w:w="3261"/>
        <w:gridCol w:w="2976"/>
      </w:tblGrid>
      <w:tr w:rsidR="002A47EB" w:rsidTr="00473798">
        <w:trPr>
          <w:trHeight w:val="340"/>
        </w:trPr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Default="002A47EB" w:rsidP="002A47E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  <w:tc>
          <w:tcPr>
            <w:tcW w:w="3261" w:type="dxa"/>
            <w:shd w:val="clear" w:color="auto" w:fill="548DD4" w:themeFill="text2" w:themeFillTint="99"/>
            <w:vAlign w:val="center"/>
          </w:tcPr>
          <w:p w:rsidR="002A47EB" w:rsidRPr="00140DF9" w:rsidRDefault="002A47EB" w:rsidP="00473798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2011</w:t>
            </w:r>
          </w:p>
        </w:tc>
        <w:tc>
          <w:tcPr>
            <w:tcW w:w="2976" w:type="dxa"/>
            <w:shd w:val="clear" w:color="auto" w:fill="548DD4" w:themeFill="text2" w:themeFillTint="99"/>
            <w:vAlign w:val="center"/>
          </w:tcPr>
          <w:p w:rsidR="002A47EB" w:rsidRPr="00140DF9" w:rsidRDefault="002A47EB" w:rsidP="00473798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2006</w:t>
            </w:r>
          </w:p>
        </w:tc>
      </w:tr>
      <w:tr w:rsidR="00A14F93" w:rsidTr="00473798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A14F93" w:rsidRPr="007139A3" w:rsidRDefault="00A14F93" w:rsidP="004737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A14F93" w:rsidRDefault="00A14F93" w:rsidP="004737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1,331,607 (73.4%)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A14F93" w:rsidRDefault="00A14F93" w:rsidP="004737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1,292,142 (74.0%)</w:t>
            </w:r>
          </w:p>
        </w:tc>
      </w:tr>
      <w:tr w:rsidR="00A14F93" w:rsidTr="00473798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A14F93" w:rsidRPr="007139A3" w:rsidRDefault="00A14F93" w:rsidP="004737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A14F93" w:rsidRDefault="00A14F93" w:rsidP="004737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218,734 (12.1%)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A14F93" w:rsidRDefault="00A14F93" w:rsidP="004737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259,885 (15.0%)</w:t>
            </w:r>
          </w:p>
        </w:tc>
      </w:tr>
      <w:tr w:rsidR="00A14F93" w:rsidTr="00473798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A14F93" w:rsidRPr="00D413DF" w:rsidRDefault="00A14F93" w:rsidP="004737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A14F93" w:rsidRDefault="00A14F93" w:rsidP="004737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238,591 (13.1%)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A14F93" w:rsidRDefault="00A14F93" w:rsidP="004737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159,539 (9.0%)</w:t>
            </w:r>
          </w:p>
        </w:tc>
      </w:tr>
      <w:tr w:rsidR="00A14F93" w:rsidTr="00473798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A14F93" w:rsidRDefault="00A14F93" w:rsidP="004737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A14F93" w:rsidRDefault="00A14F93" w:rsidP="004737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1,815,132 (100.0%)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A14F93" w:rsidRDefault="00A14F93" w:rsidP="004737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1,734,698 (100.0%)</w:t>
            </w:r>
          </w:p>
        </w:tc>
      </w:tr>
    </w:tbl>
    <w:p w:rsidR="002E7952" w:rsidRDefault="002E7952" w:rsidP="002E7952">
      <w:pPr>
        <w:rPr>
          <w:rFonts w:ascii="Arial" w:hAnsi="Arial" w:cs="Arial"/>
          <w:b/>
        </w:rPr>
      </w:pPr>
    </w:p>
    <w:p w:rsidR="00D61DE3" w:rsidRPr="00302175" w:rsidRDefault="00D61DE3" w:rsidP="00D61DE3">
      <w:pPr>
        <w:pStyle w:val="ListParagraph"/>
        <w:numPr>
          <w:ilvl w:val="0"/>
          <w:numId w:val="3"/>
        </w:numPr>
        <w:ind w:left="53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More than three quarters </w:t>
      </w:r>
      <w:r w:rsidRPr="00302175">
        <w:rPr>
          <w:rFonts w:ascii="Arial" w:hAnsi="Arial" w:cs="Arial"/>
          <w:b/>
          <w:bCs/>
          <w:color w:val="4181C0"/>
          <w:sz w:val="18"/>
          <w:szCs w:val="18"/>
        </w:rPr>
        <w:t xml:space="preserve">(73.4%)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the Queensland residents who moved five years prior to Census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moved within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State.</w:t>
      </w:r>
    </w:p>
    <w:p w:rsidR="00D61DE3" w:rsidRPr="00D61DE3" w:rsidRDefault="00D61DE3" w:rsidP="001C2998">
      <w:pPr>
        <w:pStyle w:val="ListParagraph"/>
        <w:numPr>
          <w:ilvl w:val="0"/>
          <w:numId w:val="3"/>
        </w:numPr>
        <w:ind w:left="530"/>
        <w:rPr>
          <w:rFonts w:ascii="Arial" w:hAnsi="Arial" w:cs="Arial"/>
          <w:b/>
          <w:bCs/>
          <w:color w:val="4181C0"/>
          <w:sz w:val="18"/>
          <w:szCs w:val="18"/>
        </w:rPr>
      </w:pPr>
      <w:r w:rsidRPr="00D61DE3">
        <w:rPr>
          <w:rFonts w:ascii="Arial" w:hAnsi="Arial" w:cs="Arial"/>
          <w:b/>
          <w:bCs/>
          <w:color w:val="4181C0"/>
          <w:sz w:val="18"/>
          <w:szCs w:val="18"/>
        </w:rPr>
        <w:t>There were 238,591 (13.1%) of persons who had moved to Queensland from overseas in the five years prior to the 2011 Census.</w:t>
      </w:r>
    </w:p>
    <w:p w:rsidR="002A47EB" w:rsidRDefault="002A47EB" w:rsidP="002E7952">
      <w:pPr>
        <w:ind w:left="360"/>
      </w:pPr>
    </w:p>
    <w:sectPr w:rsidR="002A47EB" w:rsidSect="00C274AF">
      <w:headerReference w:type="default" r:id="rId9"/>
      <w:footerReference w:type="default" r:id="rId10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643" w:rsidRDefault="00CE2643" w:rsidP="00FB2000">
      <w:pPr>
        <w:spacing w:after="0" w:line="240" w:lineRule="auto"/>
      </w:pPr>
      <w:r>
        <w:separator/>
      </w:r>
    </w:p>
  </w:endnote>
  <w:endnote w:type="continuationSeparator" w:id="0">
    <w:p w:rsidR="00CE2643" w:rsidRDefault="00CE2643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643" w:rsidRDefault="00CE2643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A1A6035" wp14:editId="60E9BEF2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2643" w:rsidRDefault="00CE26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643" w:rsidRDefault="00CE2643" w:rsidP="00FB2000">
      <w:pPr>
        <w:spacing w:after="0" w:line="240" w:lineRule="auto"/>
      </w:pPr>
      <w:r>
        <w:separator/>
      </w:r>
    </w:p>
  </w:footnote>
  <w:footnote w:type="continuationSeparator" w:id="0">
    <w:p w:rsidR="00CE2643" w:rsidRDefault="00CE2643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643" w:rsidRDefault="00CE264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D9F6438" wp14:editId="16D4BB19">
          <wp:simplePos x="0" y="0"/>
          <wp:positionH relativeFrom="column">
            <wp:posOffset>-923026</wp:posOffset>
          </wp:positionH>
          <wp:positionV relativeFrom="paragraph">
            <wp:posOffset>-458841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4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CE2643" w:rsidRDefault="00CE26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DA5EC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2569"/>
    <w:multiLevelType w:val="hybridMultilevel"/>
    <w:tmpl w:val="FE3612C8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178047E7"/>
    <w:multiLevelType w:val="hybridMultilevel"/>
    <w:tmpl w:val="6AF49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91708"/>
    <w:multiLevelType w:val="hybridMultilevel"/>
    <w:tmpl w:val="6E203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124D3"/>
    <w:multiLevelType w:val="hybridMultilevel"/>
    <w:tmpl w:val="E86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FB4272"/>
    <w:multiLevelType w:val="hybridMultilevel"/>
    <w:tmpl w:val="C8D40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B158E"/>
    <w:multiLevelType w:val="hybridMultilevel"/>
    <w:tmpl w:val="1C3A271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41104"/>
    <w:rsid w:val="0004210F"/>
    <w:rsid w:val="000440A8"/>
    <w:rsid w:val="00067D5D"/>
    <w:rsid w:val="000710F0"/>
    <w:rsid w:val="00072012"/>
    <w:rsid w:val="000772DD"/>
    <w:rsid w:val="00091772"/>
    <w:rsid w:val="000A0AA0"/>
    <w:rsid w:val="000B0EEA"/>
    <w:rsid w:val="000B6B37"/>
    <w:rsid w:val="000C3003"/>
    <w:rsid w:val="000E619A"/>
    <w:rsid w:val="000F35CD"/>
    <w:rsid w:val="001222EF"/>
    <w:rsid w:val="0012464C"/>
    <w:rsid w:val="00126662"/>
    <w:rsid w:val="00142FDA"/>
    <w:rsid w:val="00195295"/>
    <w:rsid w:val="001A320D"/>
    <w:rsid w:val="001A73F0"/>
    <w:rsid w:val="001B4E57"/>
    <w:rsid w:val="001B6491"/>
    <w:rsid w:val="001C2998"/>
    <w:rsid w:val="001C3BDA"/>
    <w:rsid w:val="001C5AD9"/>
    <w:rsid w:val="001D5700"/>
    <w:rsid w:val="001F3A59"/>
    <w:rsid w:val="00200A52"/>
    <w:rsid w:val="002236FF"/>
    <w:rsid w:val="00233455"/>
    <w:rsid w:val="0023602E"/>
    <w:rsid w:val="0027431A"/>
    <w:rsid w:val="00276567"/>
    <w:rsid w:val="002A47EB"/>
    <w:rsid w:val="002B1F1F"/>
    <w:rsid w:val="002C53F7"/>
    <w:rsid w:val="002E398F"/>
    <w:rsid w:val="002E495F"/>
    <w:rsid w:val="002E7952"/>
    <w:rsid w:val="002F75D9"/>
    <w:rsid w:val="00323396"/>
    <w:rsid w:val="00323637"/>
    <w:rsid w:val="00336FAE"/>
    <w:rsid w:val="00343E6A"/>
    <w:rsid w:val="00344F14"/>
    <w:rsid w:val="003504A3"/>
    <w:rsid w:val="00351CE8"/>
    <w:rsid w:val="003836C7"/>
    <w:rsid w:val="003C28FD"/>
    <w:rsid w:val="003E7905"/>
    <w:rsid w:val="003F1FA6"/>
    <w:rsid w:val="0040658F"/>
    <w:rsid w:val="00430AF6"/>
    <w:rsid w:val="00433831"/>
    <w:rsid w:val="00442F63"/>
    <w:rsid w:val="00450DEF"/>
    <w:rsid w:val="00453A95"/>
    <w:rsid w:val="00473798"/>
    <w:rsid w:val="004752F8"/>
    <w:rsid w:val="004B1834"/>
    <w:rsid w:val="004F0023"/>
    <w:rsid w:val="004F6F82"/>
    <w:rsid w:val="00501823"/>
    <w:rsid w:val="00507121"/>
    <w:rsid w:val="0051406F"/>
    <w:rsid w:val="00520693"/>
    <w:rsid w:val="0054273D"/>
    <w:rsid w:val="0056133B"/>
    <w:rsid w:val="00576A85"/>
    <w:rsid w:val="00577B41"/>
    <w:rsid w:val="005830EF"/>
    <w:rsid w:val="00584AA0"/>
    <w:rsid w:val="00594664"/>
    <w:rsid w:val="005C1188"/>
    <w:rsid w:val="005C397A"/>
    <w:rsid w:val="005D2C2E"/>
    <w:rsid w:val="00604ABE"/>
    <w:rsid w:val="006250FC"/>
    <w:rsid w:val="00677868"/>
    <w:rsid w:val="006A7683"/>
    <w:rsid w:val="006B4BFF"/>
    <w:rsid w:val="006E0FBB"/>
    <w:rsid w:val="006E1414"/>
    <w:rsid w:val="00702C83"/>
    <w:rsid w:val="007139A3"/>
    <w:rsid w:val="00726F2A"/>
    <w:rsid w:val="00740DF9"/>
    <w:rsid w:val="00742EC1"/>
    <w:rsid w:val="007647FC"/>
    <w:rsid w:val="007752A8"/>
    <w:rsid w:val="00793493"/>
    <w:rsid w:val="007B610E"/>
    <w:rsid w:val="008221E1"/>
    <w:rsid w:val="00830BD8"/>
    <w:rsid w:val="0085196E"/>
    <w:rsid w:val="008522F8"/>
    <w:rsid w:val="00864EA7"/>
    <w:rsid w:val="00891224"/>
    <w:rsid w:val="008A1C74"/>
    <w:rsid w:val="008B2ACC"/>
    <w:rsid w:val="008B58A5"/>
    <w:rsid w:val="008C1667"/>
    <w:rsid w:val="009135CC"/>
    <w:rsid w:val="00913D3B"/>
    <w:rsid w:val="0091653E"/>
    <w:rsid w:val="00936274"/>
    <w:rsid w:val="00964903"/>
    <w:rsid w:val="00974250"/>
    <w:rsid w:val="009A0023"/>
    <w:rsid w:val="009C247B"/>
    <w:rsid w:val="009D6D94"/>
    <w:rsid w:val="00A11293"/>
    <w:rsid w:val="00A14F93"/>
    <w:rsid w:val="00A342AD"/>
    <w:rsid w:val="00A43D36"/>
    <w:rsid w:val="00A517E5"/>
    <w:rsid w:val="00A57632"/>
    <w:rsid w:val="00A833A0"/>
    <w:rsid w:val="00B01E2F"/>
    <w:rsid w:val="00B27D30"/>
    <w:rsid w:val="00B5694C"/>
    <w:rsid w:val="00B63DE0"/>
    <w:rsid w:val="00B750A3"/>
    <w:rsid w:val="00B75E0A"/>
    <w:rsid w:val="00B80E78"/>
    <w:rsid w:val="00B82E86"/>
    <w:rsid w:val="00B83D07"/>
    <w:rsid w:val="00B84AA5"/>
    <w:rsid w:val="00B933A7"/>
    <w:rsid w:val="00BA68D1"/>
    <w:rsid w:val="00BF1EC3"/>
    <w:rsid w:val="00BF24A5"/>
    <w:rsid w:val="00BF46A5"/>
    <w:rsid w:val="00C06AF4"/>
    <w:rsid w:val="00C07C7D"/>
    <w:rsid w:val="00C23A03"/>
    <w:rsid w:val="00C274AF"/>
    <w:rsid w:val="00C46225"/>
    <w:rsid w:val="00C519A1"/>
    <w:rsid w:val="00C64D05"/>
    <w:rsid w:val="00C6641B"/>
    <w:rsid w:val="00C7399C"/>
    <w:rsid w:val="00C86BAA"/>
    <w:rsid w:val="00C94EFE"/>
    <w:rsid w:val="00CB16F9"/>
    <w:rsid w:val="00CD0C2E"/>
    <w:rsid w:val="00CD1E23"/>
    <w:rsid w:val="00CE1624"/>
    <w:rsid w:val="00CE2643"/>
    <w:rsid w:val="00CF489B"/>
    <w:rsid w:val="00D0532D"/>
    <w:rsid w:val="00D165B0"/>
    <w:rsid w:val="00D24529"/>
    <w:rsid w:val="00D314BC"/>
    <w:rsid w:val="00D413DF"/>
    <w:rsid w:val="00D448C6"/>
    <w:rsid w:val="00D44E29"/>
    <w:rsid w:val="00D61DE3"/>
    <w:rsid w:val="00D6477B"/>
    <w:rsid w:val="00D6793E"/>
    <w:rsid w:val="00D877FC"/>
    <w:rsid w:val="00D96A8E"/>
    <w:rsid w:val="00D96DC9"/>
    <w:rsid w:val="00DB7F2F"/>
    <w:rsid w:val="00DE3C33"/>
    <w:rsid w:val="00DE547A"/>
    <w:rsid w:val="00E27405"/>
    <w:rsid w:val="00E640DC"/>
    <w:rsid w:val="00E7764E"/>
    <w:rsid w:val="00E85F97"/>
    <w:rsid w:val="00E8695A"/>
    <w:rsid w:val="00EA1905"/>
    <w:rsid w:val="00EC5711"/>
    <w:rsid w:val="00EF2740"/>
    <w:rsid w:val="00F86539"/>
    <w:rsid w:val="00FB2000"/>
    <w:rsid w:val="00FC35D1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C7A7A-1B7A-478C-8D24-E009B01F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226</TotalTime>
  <Pages>8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Maren Child</cp:lastModifiedBy>
  <cp:revision>18</cp:revision>
  <cp:lastPrinted>2012-10-10T20:24:00Z</cp:lastPrinted>
  <dcterms:created xsi:type="dcterms:W3CDTF">2012-10-18T03:20:00Z</dcterms:created>
  <dcterms:modified xsi:type="dcterms:W3CDTF">2012-10-29T21:02:00Z</dcterms:modified>
</cp:coreProperties>
</file>